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72B5A4" w14:textId="7BBF57FD" w:rsidR="000830E3" w:rsidRDefault="00F4719A" w:rsidP="00F4719A">
      <w:pPr>
        <w:pStyle w:val="Pagedecouverture"/>
        <w:rPr>
          <w:noProof/>
        </w:rPr>
      </w:pPr>
      <w:bookmarkStart w:id="0" w:name="LW_BM_COVERPAGE"/>
      <w:r>
        <w:rPr>
          <w:noProof/>
        </w:rPr>
        <w:pict w14:anchorId="1F2B84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75A5B92-C4FA-4875-BCE7-10DD5FF1BB8A" style="width:455.25pt;height:548.25pt">
            <v:imagedata r:id="rId15" o:title=""/>
          </v:shape>
        </w:pict>
      </w:r>
    </w:p>
    <w:bookmarkEnd w:id="0"/>
    <w:p w14:paraId="2BAF3ADB" w14:textId="77777777" w:rsidR="000830E3" w:rsidRDefault="000830E3" w:rsidP="000830E3">
      <w:pPr>
        <w:rPr>
          <w:noProof/>
        </w:rPr>
        <w:sectPr w:rsidR="000830E3" w:rsidSect="00F4719A">
          <w:headerReference w:type="even" r:id="rId16"/>
          <w:headerReference w:type="default" r:id="rId17"/>
          <w:footerReference w:type="even" r:id="rId18"/>
          <w:footerReference w:type="default" r:id="rId19"/>
          <w:headerReference w:type="first" r:id="rId20"/>
          <w:footerReference w:type="first" r:id="rId21"/>
          <w:pgSz w:w="11906" w:h="16838"/>
          <w:pgMar w:top="1134" w:right="1417" w:bottom="1134" w:left="1417" w:header="709" w:footer="709" w:gutter="0"/>
          <w:pgNumType w:start="0"/>
          <w:cols w:space="720"/>
          <w:docGrid w:linePitch="326"/>
        </w:sectPr>
      </w:pPr>
    </w:p>
    <w:p w14:paraId="03C63E4E" w14:textId="77777777" w:rsidR="00165CC4" w:rsidRPr="00165CC4" w:rsidRDefault="00165CC4" w:rsidP="00165CC4">
      <w:pPr>
        <w:pBdr>
          <w:top w:val="single" w:sz="4" w:space="1" w:color="auto"/>
          <w:left w:val="single" w:sz="4" w:space="4" w:color="auto"/>
          <w:bottom w:val="single" w:sz="4" w:space="17" w:color="auto"/>
          <w:right w:val="single" w:sz="4" w:space="4" w:color="auto"/>
        </w:pBdr>
        <w:rPr>
          <w:b/>
          <w:smallCaps/>
          <w:noProof/>
          <w:szCs w:val="24"/>
          <w:u w:val="single"/>
          <w:lang w:val="en-IE" w:eastAsia="en-GB"/>
        </w:rPr>
      </w:pPr>
      <w:bookmarkStart w:id="1" w:name="_GoBack"/>
      <w:bookmarkEnd w:id="1"/>
      <w:r w:rsidRPr="00165CC4">
        <w:rPr>
          <w:b/>
          <w:smallCaps/>
          <w:noProof/>
          <w:szCs w:val="24"/>
          <w:u w:val="single"/>
          <w:lang w:val="en-IE" w:eastAsia="en-GB"/>
        </w:rPr>
        <w:lastRenderedPageBreak/>
        <w:t>Abstract</w:t>
      </w:r>
    </w:p>
    <w:p w14:paraId="6750D727" w14:textId="77777777" w:rsidR="00165CC4" w:rsidRPr="00165CC4" w:rsidRDefault="00165CC4" w:rsidP="00165CC4">
      <w:pPr>
        <w:pBdr>
          <w:top w:val="single" w:sz="4" w:space="1" w:color="auto"/>
          <w:left w:val="single" w:sz="4" w:space="4" w:color="auto"/>
          <w:bottom w:val="single" w:sz="4" w:space="17" w:color="auto"/>
          <w:right w:val="single" w:sz="4" w:space="4" w:color="auto"/>
        </w:pBdr>
        <w:rPr>
          <w:noProof/>
          <w:szCs w:val="22"/>
          <w:lang w:val="en-IE" w:eastAsia="en-GB"/>
        </w:rPr>
      </w:pPr>
      <w:bookmarkStart w:id="2" w:name="_Hlk191232870"/>
      <w:r w:rsidRPr="00165CC4">
        <w:rPr>
          <w:rFonts w:eastAsiaTheme="minorHAnsi" w:cstheme="minorBidi"/>
          <w:noProof/>
          <w:szCs w:val="22"/>
          <w:lang w:val="en-IE" w:eastAsia="en-GB"/>
        </w:rPr>
        <w:t>In the Netherlands, the perception of the level of judicial independence is very high</w:t>
      </w:r>
      <w:bookmarkEnd w:id="2"/>
      <w:r w:rsidRPr="00165CC4">
        <w:rPr>
          <w:rFonts w:eastAsiaTheme="minorHAnsi" w:cstheme="minorBidi"/>
          <w:noProof/>
          <w:szCs w:val="22"/>
          <w:lang w:val="en-IE" w:eastAsia="en-GB"/>
        </w:rPr>
        <w:t>, and national authorities are working on introducing additional rule of law safeguards in legislation. A proposal to remove the power of the Minister of Justice and Security to give instructions to the prosecution service in individual cases is pending in the Senate. Proposals to allow judges to review legislation against “classic” fundamental rights enshrined in the constitution, to give the judiciary its own budget and to remove the role of the executive in the appointment of members of the Council for the Judiciary are under discussion. Changes were made to the regime of visual supervision of lawyer-client conversations in high-security prisons, amid concerns by lawyers. Significant steps have been taken to improve working conditions and address staff shortages in the judiciary. The funding for legal aid was structurally increased. The level of digitalisation has further improved and the efficiency of the justice system continues to be high.</w:t>
      </w:r>
    </w:p>
    <w:p w14:paraId="235AE270" w14:textId="64E87DA8" w:rsidR="00165CC4" w:rsidRPr="00165CC4" w:rsidRDefault="00165CC4" w:rsidP="00165CC4">
      <w:pPr>
        <w:pBdr>
          <w:top w:val="single" w:sz="4" w:space="1" w:color="auto"/>
          <w:left w:val="single" w:sz="4" w:space="4" w:color="auto"/>
          <w:bottom w:val="single" w:sz="4" w:space="17" w:color="auto"/>
          <w:right w:val="single" w:sz="4" w:space="4" w:color="auto"/>
        </w:pBdr>
        <w:rPr>
          <w:rFonts w:eastAsia="Calibri" w:cstheme="minorBidi"/>
          <w:noProof/>
          <w:szCs w:val="22"/>
          <w:lang w:val="en-IE" w:eastAsia="en-US"/>
        </w:rPr>
      </w:pPr>
      <w:r w:rsidRPr="00165CC4">
        <w:rPr>
          <w:rFonts w:eastAsia="Calibri" w:cstheme="minorBidi"/>
          <w:noProof/>
          <w:szCs w:val="22"/>
          <w:lang w:val="en-IE" w:eastAsia="en-US"/>
        </w:rPr>
        <w:t>The investigation and prosecution of corruption offences remains effective</w:t>
      </w:r>
      <w:r w:rsidRPr="00165CC4">
        <w:rPr>
          <w:rFonts w:eastAsiaTheme="minorHAnsi" w:cstheme="minorBidi"/>
          <w:noProof/>
          <w:szCs w:val="22"/>
          <w:lang w:val="en-IE" w:eastAsia="en-US"/>
        </w:rPr>
        <w:t xml:space="preserve"> and the first national anti-corruption policy is being implemented with plans to further refine it in the near future. </w:t>
      </w:r>
      <w:r w:rsidRPr="00165CC4">
        <w:rPr>
          <w:rFonts w:eastAsia="Calibri" w:cstheme="minorBidi"/>
          <w:noProof/>
          <w:szCs w:val="22"/>
          <w:lang w:val="en-IE" w:eastAsia="en-US"/>
        </w:rPr>
        <w:t xml:space="preserve">Changes to the criminal anti-corruption legislation and the criminal procedure for prosecuting ministers and Members of Parliament are under discussion. Efforts continue to address corruption linked to organised crime and infiltration of organised crime in state institutions. The Codes of Conduct for civil servants are being revised, and, in a step forward, the Government intends to establish a transparency register on lobbying. Scrutiny over the enforcement of Parliament’s system of asset and interest declaration continues, while updated guidance on the asset and interest declaration regime of ministers and State secretaries clarifies rules on interests and side activities, while maintaining the principle of self-responsibility. Rules on revolving doors entered into force. </w:t>
      </w:r>
      <w:r w:rsidRPr="00165CC4">
        <w:rPr>
          <w:rFonts w:eastAsiaTheme="minorEastAsia" w:cstheme="minorBidi"/>
          <w:noProof/>
          <w:szCs w:val="22"/>
          <w:lang w:val="en-IE" w:eastAsia="en-US"/>
        </w:rPr>
        <w:t>A national risk assessment on corruption and a risk assesment on corruption risks linked to subversive organised crime were published in March 2026</w:t>
      </w:r>
      <w:r w:rsidR="00E411D7">
        <w:rPr>
          <w:rFonts w:eastAsiaTheme="minorEastAsia" w:cstheme="minorBidi"/>
          <w:noProof/>
          <w:szCs w:val="22"/>
          <w:lang w:val="en-IE" w:eastAsia="en-US"/>
        </w:rPr>
        <w:t>.</w:t>
      </w:r>
    </w:p>
    <w:p w14:paraId="70ADB269" w14:textId="77777777" w:rsidR="00165CC4" w:rsidRPr="00165CC4" w:rsidRDefault="00165CC4" w:rsidP="00165CC4">
      <w:pPr>
        <w:pBdr>
          <w:top w:val="single" w:sz="4" w:space="1" w:color="auto"/>
          <w:left w:val="single" w:sz="4" w:space="4" w:color="auto"/>
          <w:bottom w:val="single" w:sz="4" w:space="17" w:color="auto"/>
          <w:right w:val="single" w:sz="4" w:space="4" w:color="auto"/>
        </w:pBdr>
        <w:rPr>
          <w:noProof/>
          <w:szCs w:val="22"/>
          <w:lang w:val="en-IE" w:eastAsia="en-GB"/>
        </w:rPr>
      </w:pPr>
      <w:r w:rsidRPr="00165CC4">
        <w:rPr>
          <w:noProof/>
          <w:szCs w:val="22"/>
          <w:lang w:val="en-IE" w:eastAsia="en-GB"/>
        </w:rPr>
        <w:t xml:space="preserve">The media regulator continues to operate efficiently and independently. Steps have been taken to address certain concerns about the adequacy of the Press Council, the self-regulatory body for the press sector, such as clarifying its role, and streamlining its complaint-handling procedures. Preparatory work for the legislative proposal on the reform of public service media is advancing. Challenges related to a high level of media market concentration, and limited media ownership transparency remain. Efforts to improve transparency and access to information continue. The safety of journalists has improved; however, concerns remain in view of threats in the context of demonstrations and digital threats. </w:t>
      </w:r>
    </w:p>
    <w:p w14:paraId="52A24A2C" w14:textId="77777777" w:rsidR="00165CC4" w:rsidRPr="00165CC4" w:rsidRDefault="00165CC4" w:rsidP="00165CC4">
      <w:pPr>
        <w:pBdr>
          <w:top w:val="single" w:sz="4" w:space="1" w:color="auto"/>
          <w:left w:val="single" w:sz="4" w:space="4" w:color="auto"/>
          <w:bottom w:val="single" w:sz="4" w:space="17" w:color="auto"/>
          <w:right w:val="single" w:sz="4" w:space="4" w:color="auto"/>
        </w:pBdr>
        <w:rPr>
          <w:rFonts w:eastAsiaTheme="minorHAnsi" w:cstheme="minorBidi"/>
          <w:noProof/>
          <w:szCs w:val="22"/>
          <w:lang w:val="en-IE" w:eastAsia="en-GB"/>
        </w:rPr>
      </w:pPr>
      <w:r w:rsidRPr="00165CC4">
        <w:rPr>
          <w:rFonts w:eastAsiaTheme="minorHAnsi" w:cstheme="minorBidi"/>
          <w:noProof/>
          <w:szCs w:val="22"/>
          <w:lang w:val="en-IE" w:eastAsia="en-GB"/>
        </w:rPr>
        <w:t xml:space="preserve">Further steps have been taken </w:t>
      </w:r>
      <w:r w:rsidRPr="00165CC4">
        <w:rPr>
          <w:noProof/>
          <w:szCs w:val="22"/>
          <w:lang w:val="en-IE" w:eastAsia="fr-FR"/>
        </w:rPr>
        <w:t>to bring forward the proposals of the State Commission on Rule of Law</w:t>
      </w:r>
      <w:r w:rsidRPr="00165CC4">
        <w:rPr>
          <w:rFonts w:eastAsiaTheme="minorHAnsi" w:cstheme="minorBidi"/>
          <w:noProof/>
          <w:szCs w:val="22"/>
          <w:lang w:val="en-IE" w:eastAsia="en-GB"/>
        </w:rPr>
        <w:t>. The Netherlands Institute for Human Rights and the Ombudsman continue to carry out their mandates effectively.</w:t>
      </w:r>
      <w:r w:rsidRPr="00165CC4" w:rsidDel="00EF2311">
        <w:rPr>
          <w:rFonts w:eastAsiaTheme="minorHAnsi" w:cstheme="minorBidi"/>
          <w:noProof/>
          <w:szCs w:val="22"/>
          <w:lang w:val="en-IE" w:eastAsia="en-GB"/>
        </w:rPr>
        <w:t xml:space="preserve"> </w:t>
      </w:r>
      <w:r w:rsidRPr="00165CC4">
        <w:rPr>
          <w:rFonts w:eastAsiaTheme="minorHAnsi" w:cstheme="minorBidi"/>
          <w:noProof/>
          <w:szCs w:val="22"/>
          <w:lang w:val="en-IE" w:eastAsia="en-GB"/>
        </w:rPr>
        <w:t>Civil society organisations (CSOs) remain concerned about initiatives that risk affecting civic space and welcomed the Senate’s rejection of the law on transparency of CSOs</w:t>
      </w:r>
      <w:r w:rsidRPr="00165CC4" w:rsidDel="00EF2311">
        <w:rPr>
          <w:rFonts w:eastAsiaTheme="minorHAnsi" w:cstheme="minorBidi"/>
          <w:noProof/>
          <w:szCs w:val="22"/>
          <w:lang w:val="en-IE" w:eastAsia="en-GB"/>
        </w:rPr>
        <w:t>.</w:t>
      </w:r>
    </w:p>
    <w:p w14:paraId="4CD43BE6" w14:textId="77777777" w:rsidR="00B94404" w:rsidRDefault="00B94404">
      <w:pPr>
        <w:spacing w:after="0"/>
        <w:jc w:val="left"/>
        <w:rPr>
          <w:noProof/>
          <w:lang w:val="en-IE" w:eastAsia="en-GB"/>
        </w:rPr>
      </w:pPr>
      <w:r>
        <w:rPr>
          <w:noProof/>
          <w:lang w:val="en-IE" w:eastAsia="en-GB"/>
        </w:rPr>
        <w:br w:type="page"/>
      </w:r>
    </w:p>
    <w:p w14:paraId="5D720E57" w14:textId="1890077B" w:rsidR="004C50D8" w:rsidRPr="00D16464" w:rsidRDefault="004C50D8" w:rsidP="004C50D8">
      <w:pPr>
        <w:pageBreakBefore/>
        <w:pBdr>
          <w:top w:val="single" w:sz="4" w:space="1" w:color="auto"/>
          <w:left w:val="single" w:sz="4" w:space="4" w:color="auto"/>
          <w:bottom w:val="single" w:sz="4" w:space="17" w:color="auto"/>
          <w:right w:val="single" w:sz="4" w:space="4" w:color="auto"/>
        </w:pBdr>
        <w:rPr>
          <w:b/>
          <w:smallCaps/>
          <w:noProof/>
          <w:szCs w:val="24"/>
          <w:u w:val="single"/>
          <w:lang w:val="en-IE" w:eastAsia="en-GB"/>
        </w:rPr>
      </w:pPr>
      <w:bookmarkStart w:id="3" w:name="_Hlk202256986"/>
      <w:r>
        <w:rPr>
          <w:b/>
          <w:smallCaps/>
          <w:noProof/>
          <w:szCs w:val="24"/>
          <w:u w:val="single"/>
          <w:lang w:val="en-IE" w:eastAsia="en-GB"/>
        </w:rPr>
        <w:t>Recommendations</w:t>
      </w:r>
    </w:p>
    <w:p w14:paraId="7B9CF6D2" w14:textId="77777777" w:rsidR="004C50D8" w:rsidRPr="00D16464" w:rsidRDefault="004C50D8" w:rsidP="004C50D8">
      <w:pPr>
        <w:pBdr>
          <w:top w:val="single" w:sz="4" w:space="1" w:color="auto"/>
          <w:left w:val="single" w:sz="4" w:space="4" w:color="auto"/>
          <w:bottom w:val="single" w:sz="4" w:space="17" w:color="auto"/>
          <w:right w:val="single" w:sz="4" w:space="4" w:color="auto"/>
        </w:pBdr>
        <w:spacing w:after="0"/>
        <w:contextualSpacing/>
        <w:rPr>
          <w:noProof/>
          <w:lang w:val="en-IE" w:eastAsia="en-GB"/>
        </w:rPr>
      </w:pPr>
      <w:r>
        <w:rPr>
          <w:noProof/>
          <w:lang w:val="en-IE" w:eastAsia="en-GB"/>
        </w:rPr>
        <w:t xml:space="preserve">Overall, based on the recommendations in the 2025 Rule of Law Report, and considering other developments that took place in the period of reference, the Commission concludes the following: </w:t>
      </w:r>
    </w:p>
    <w:p w14:paraId="4FB5C09D" w14:textId="77777777" w:rsidR="004C50D8" w:rsidRPr="00D16464" w:rsidRDefault="004C50D8" w:rsidP="004C50D8">
      <w:pPr>
        <w:pBdr>
          <w:top w:val="single" w:sz="4" w:space="1" w:color="auto"/>
          <w:left w:val="single" w:sz="4" w:space="4" w:color="auto"/>
          <w:bottom w:val="single" w:sz="4" w:space="17" w:color="auto"/>
          <w:right w:val="single" w:sz="4" w:space="4" w:color="auto"/>
        </w:pBdr>
        <w:spacing w:after="0"/>
        <w:contextualSpacing/>
        <w:rPr>
          <w:noProof/>
          <w:lang w:val="en-IE" w:eastAsia="en-GB"/>
        </w:rPr>
      </w:pPr>
    </w:p>
    <w:p w14:paraId="0AAB1749" w14:textId="77777777" w:rsidR="004C50D8" w:rsidRPr="00D16464" w:rsidRDefault="004C50D8" w:rsidP="004C50D8">
      <w:pPr>
        <w:numPr>
          <w:ilvl w:val="0"/>
          <w:numId w:val="23"/>
        </w:numPr>
        <w:pBdr>
          <w:top w:val="single" w:sz="4" w:space="1" w:color="auto"/>
          <w:left w:val="single" w:sz="4" w:space="4" w:color="auto"/>
          <w:bottom w:val="single" w:sz="4" w:space="17" w:color="auto"/>
          <w:right w:val="single" w:sz="4" w:space="4" w:color="auto"/>
        </w:pBdr>
        <w:spacing w:after="200"/>
        <w:ind w:left="357" w:hanging="357"/>
        <w:contextualSpacing/>
        <w:rPr>
          <w:noProof/>
          <w:lang w:val="en-IE" w:eastAsia="en-GB"/>
        </w:rPr>
      </w:pPr>
      <w:r>
        <w:rPr>
          <w:rFonts w:eastAsia="Aptos" w:cs="Arial"/>
          <w:noProof/>
          <w:lang w:val="en-IE"/>
        </w:rPr>
        <w:t xml:space="preserve">Limited progress has been made to establish stricter transparency rules on lobbying for members of the Government and Parliament, as the Government announced its intention to introduce a transparency register. It is recommended to the Netherlands to </w:t>
      </w:r>
      <w:r>
        <w:rPr>
          <w:rFonts w:eastAsia="Aptos" w:cs="Arial"/>
          <w:i/>
          <w:iCs/>
          <w:noProof/>
          <w:lang w:val="en-IE"/>
        </w:rPr>
        <w:t>put in place legislative provisions to establish stricter transparency rules on lobbying for members of the Government and Parliament.</w:t>
      </w:r>
    </w:p>
    <w:p w14:paraId="60A91399" w14:textId="77777777" w:rsidR="004C50D8" w:rsidRPr="00D16464" w:rsidRDefault="004C50D8" w:rsidP="004C50D8">
      <w:pPr>
        <w:numPr>
          <w:ilvl w:val="0"/>
          <w:numId w:val="23"/>
        </w:numPr>
        <w:pBdr>
          <w:top w:val="single" w:sz="4" w:space="1" w:color="auto"/>
          <w:left w:val="single" w:sz="4" w:space="4" w:color="auto"/>
          <w:bottom w:val="single" w:sz="4" w:space="17" w:color="auto"/>
          <w:right w:val="single" w:sz="4" w:space="4" w:color="auto"/>
        </w:pBdr>
        <w:spacing w:after="200"/>
        <w:ind w:left="357" w:hanging="357"/>
        <w:contextualSpacing/>
        <w:rPr>
          <w:bCs/>
          <w:noProof/>
          <w:lang w:val="en-IE" w:eastAsia="en-GB"/>
        </w:rPr>
      </w:pPr>
      <w:r>
        <w:rPr>
          <w:rFonts w:eastAsia="Aptos" w:cs="Arial"/>
          <w:bCs/>
          <w:noProof/>
          <w:lang w:val="en-IE"/>
        </w:rPr>
        <w:t>Some progress has been made on taking forward the planned reform of public service media to enhance its governance and its ability to uphold journalistic standards, with preparatory work ongoing for the reform of public service media and with a draft law on local public broadcasters currently before Parliament. Given that parts of this recommendation are covered by provisions of the European Media Freedom Act (EMFA), while the Rule of Law Report will continue to monitor significant developments and report on their impact, further follow-up will be ensured as part of the Commission’s support to Member States and enforcement of the EMFA</w:t>
      </w:r>
      <w:r>
        <w:rPr>
          <w:rFonts w:eastAsia="Aptos" w:cs="Arial"/>
          <w:bCs/>
          <w:i/>
          <w:iCs/>
          <w:noProof/>
          <w:lang w:val="en-IE"/>
        </w:rPr>
        <w:t xml:space="preserve">. </w:t>
      </w:r>
      <w:r>
        <w:rPr>
          <w:rFonts w:eastAsia="Aptos" w:cs="Arial"/>
          <w:noProof/>
          <w:lang w:val="en-IE"/>
        </w:rPr>
        <w:t>In light of this, it is recommended to the Netherlands to</w:t>
      </w:r>
      <w:r>
        <w:rPr>
          <w:rFonts w:eastAsia="Aptos" w:cs="Arial"/>
          <w:bCs/>
          <w:i/>
          <w:iCs/>
          <w:noProof/>
          <w:lang w:val="en-IE"/>
        </w:rPr>
        <w:t xml:space="preserve"> take forward its work in relation to the upholding of journalistic standards by public service media.</w:t>
      </w:r>
      <w:r>
        <w:rPr>
          <w:rFonts w:eastAsia="Aptos" w:cs="Arial"/>
          <w:bCs/>
          <w:noProof/>
          <w:lang w:val="en-IE"/>
        </w:rPr>
        <w:t xml:space="preserve"> </w:t>
      </w:r>
    </w:p>
    <w:p w14:paraId="5161CABE" w14:textId="77777777" w:rsidR="004C50D8" w:rsidRPr="00D16464" w:rsidRDefault="004C50D8" w:rsidP="004C50D8">
      <w:pPr>
        <w:pBdr>
          <w:top w:val="single" w:sz="4" w:space="1" w:color="auto"/>
          <w:left w:val="single" w:sz="4" w:space="4" w:color="auto"/>
          <w:bottom w:val="single" w:sz="4" w:space="17" w:color="auto"/>
          <w:right w:val="single" w:sz="4" w:space="4" w:color="auto"/>
        </w:pBdr>
        <w:spacing w:after="200"/>
        <w:contextualSpacing/>
        <w:rPr>
          <w:bCs/>
          <w:noProof/>
          <w:lang w:val="en-IE" w:eastAsia="en-GB"/>
        </w:rPr>
      </w:pPr>
    </w:p>
    <w:p w14:paraId="2FABC606" w14:textId="77777777" w:rsidR="004C50D8" w:rsidRPr="00D16464" w:rsidRDefault="004C50D8" w:rsidP="004C50D8">
      <w:pPr>
        <w:pBdr>
          <w:top w:val="single" w:sz="4" w:space="1" w:color="auto"/>
          <w:left w:val="single" w:sz="4" w:space="4" w:color="auto"/>
          <w:bottom w:val="single" w:sz="4" w:space="17" w:color="auto"/>
          <w:right w:val="single" w:sz="4" w:space="4" w:color="auto"/>
        </w:pBdr>
        <w:spacing w:after="0"/>
        <w:contextualSpacing/>
        <w:rPr>
          <w:bCs/>
          <w:noProof/>
          <w:lang w:val="en-IE" w:eastAsia="en-GB"/>
        </w:rPr>
      </w:pPr>
      <w:r>
        <w:rPr>
          <w:bCs/>
          <w:noProof/>
          <w:lang w:val="en-IE" w:eastAsia="en-GB"/>
        </w:rPr>
        <w:t>As regards the other 2025 recommendations, the Commission concludes that:</w:t>
      </w:r>
    </w:p>
    <w:p w14:paraId="6BD89657" w14:textId="77777777" w:rsidR="004C50D8" w:rsidRPr="00D16464" w:rsidRDefault="004C50D8" w:rsidP="004C50D8">
      <w:pPr>
        <w:pBdr>
          <w:top w:val="single" w:sz="4" w:space="1" w:color="auto"/>
          <w:left w:val="single" w:sz="4" w:space="4" w:color="auto"/>
          <w:bottom w:val="single" w:sz="4" w:space="17" w:color="auto"/>
          <w:right w:val="single" w:sz="4" w:space="4" w:color="auto"/>
        </w:pBdr>
        <w:spacing w:after="0"/>
        <w:contextualSpacing/>
        <w:rPr>
          <w:bCs/>
          <w:noProof/>
          <w:lang w:val="en-IE" w:eastAsia="en-GB"/>
        </w:rPr>
      </w:pPr>
    </w:p>
    <w:p w14:paraId="6F0C705A" w14:textId="77777777" w:rsidR="004C50D8" w:rsidRPr="00D16464" w:rsidRDefault="004C50D8" w:rsidP="004C50D8">
      <w:pPr>
        <w:numPr>
          <w:ilvl w:val="0"/>
          <w:numId w:val="23"/>
        </w:numPr>
        <w:pBdr>
          <w:top w:val="single" w:sz="4" w:space="1" w:color="auto"/>
          <w:left w:val="single" w:sz="4" w:space="4" w:color="auto"/>
          <w:bottom w:val="single" w:sz="4" w:space="17" w:color="auto"/>
          <w:right w:val="single" w:sz="4" w:space="4" w:color="auto"/>
        </w:pBdr>
        <w:spacing w:after="200"/>
        <w:ind w:left="357" w:hanging="357"/>
        <w:contextualSpacing/>
        <w:rPr>
          <w:noProof/>
          <w:lang w:val="en-IE" w:eastAsia="en-GB"/>
        </w:rPr>
      </w:pPr>
      <w:r>
        <w:rPr>
          <w:noProof/>
          <w:lang w:val="en-IE" w:eastAsia="en-GB"/>
        </w:rPr>
        <w:t xml:space="preserve">Significant progress has been made on improving working conditions in the justice system and addressing staff shortages as additional funds were made available and workload reduction measures started to bear fruit. </w:t>
      </w:r>
      <w:r>
        <w:rPr>
          <w:noProof/>
          <w:szCs w:val="24"/>
          <w:lang w:val="en-US"/>
        </w:rPr>
        <w:t>Monitoring of further developments in this area will continue in the Rule of Law Report.</w:t>
      </w:r>
    </w:p>
    <w:p w14:paraId="4B3F2A80" w14:textId="77777777" w:rsidR="004C50D8" w:rsidRPr="00D16464" w:rsidRDefault="004C50D8" w:rsidP="004C50D8">
      <w:pPr>
        <w:numPr>
          <w:ilvl w:val="0"/>
          <w:numId w:val="23"/>
        </w:numPr>
        <w:pBdr>
          <w:top w:val="single" w:sz="4" w:space="1" w:color="auto"/>
          <w:left w:val="single" w:sz="4" w:space="4" w:color="auto"/>
          <w:bottom w:val="single" w:sz="4" w:space="17" w:color="auto"/>
          <w:right w:val="single" w:sz="4" w:space="4" w:color="auto"/>
        </w:pBdr>
        <w:spacing w:after="200"/>
        <w:ind w:left="357" w:hanging="357"/>
        <w:contextualSpacing/>
        <w:rPr>
          <w:b/>
          <w:bCs/>
          <w:noProof/>
          <w:lang w:val="en-IE" w:eastAsia="en-GB"/>
        </w:rPr>
      </w:pPr>
      <w:r>
        <w:rPr>
          <w:rFonts w:eastAsia="Aptos" w:cs="Arial"/>
          <w:bCs/>
          <w:noProof/>
          <w:lang w:val="en-IE"/>
        </w:rPr>
        <w:t>Some further progress</w:t>
      </w:r>
      <w:r>
        <w:rPr>
          <w:rFonts w:eastAsia="Aptos" w:cs="Arial"/>
          <w:noProof/>
          <w:lang w:val="en-IE"/>
        </w:rPr>
        <w:t xml:space="preserve"> has been made on taking forward the proposals of the State Commission on Rule of Law to strengthen a rule of law culture due to the availability of additional funds and a willingness to continue the dialogue between state powers. </w:t>
      </w:r>
      <w:r>
        <w:rPr>
          <w:noProof/>
          <w:szCs w:val="24"/>
          <w:lang w:val="en-US"/>
        </w:rPr>
        <w:t>Monitoring of further developments in this area will continue in the Rule of Law Report.</w:t>
      </w:r>
    </w:p>
    <w:p w14:paraId="514E4970" w14:textId="77777777" w:rsidR="004C50D8" w:rsidRPr="00D16464" w:rsidRDefault="004C50D8" w:rsidP="004C50D8">
      <w:pPr>
        <w:rPr>
          <w:noProof/>
          <w:lang w:val="en-IE" w:eastAsia="en-GB"/>
        </w:rPr>
      </w:pPr>
      <w:r>
        <w:rPr>
          <w:noProof/>
          <w:lang w:val="en-IE" w:eastAsia="en-GB"/>
        </w:rPr>
        <w:br w:type="page"/>
      </w:r>
    </w:p>
    <w:p w14:paraId="644E0140" w14:textId="3F4FB1BE" w:rsidR="0086484F" w:rsidRDefault="00672487" w:rsidP="00672487">
      <w:pPr>
        <w:pStyle w:val="ListParagraph"/>
        <w:keepNext/>
        <w:numPr>
          <w:ilvl w:val="0"/>
          <w:numId w:val="47"/>
        </w:numPr>
        <w:outlineLvl w:val="0"/>
        <w:rPr>
          <w:b/>
          <w:smallCaps/>
          <w:noProof/>
          <w:szCs w:val="24"/>
          <w:u w:val="single"/>
          <w:lang w:val="en-IE" w:eastAsia="fr-FR"/>
        </w:rPr>
      </w:pPr>
      <w:r w:rsidRPr="001F33CC">
        <w:rPr>
          <w:b/>
          <w:smallCaps/>
          <w:noProof/>
          <w:szCs w:val="24"/>
          <w:u w:val="single"/>
          <w:lang w:val="en-IE" w:eastAsia="fr-FR"/>
        </w:rPr>
        <w:t>Justice System</w:t>
      </w:r>
      <w:r w:rsidRPr="00165CC4">
        <w:rPr>
          <w:bCs/>
          <w:noProof/>
          <w:vertAlign w:val="superscript"/>
        </w:rPr>
        <w:footnoteReference w:id="1"/>
      </w:r>
      <w:r w:rsidRPr="001F33CC">
        <w:rPr>
          <w:bCs/>
          <w:smallCaps/>
          <w:noProof/>
          <w:lang w:val="en-IE" w:eastAsia="fr-FR"/>
        </w:rPr>
        <w:t xml:space="preserve"> </w:t>
      </w:r>
    </w:p>
    <w:bookmarkEnd w:id="3"/>
    <w:p w14:paraId="70DA60FC" w14:textId="77777777" w:rsidR="00165CC4" w:rsidRPr="00165CC4" w:rsidRDefault="00165CC4" w:rsidP="00165CC4">
      <w:pPr>
        <w:keepNext/>
        <w:outlineLvl w:val="1"/>
        <w:rPr>
          <w:b/>
          <w:noProof/>
          <w:szCs w:val="24"/>
          <w:lang w:val="en-IE" w:eastAsia="en-GB"/>
        </w:rPr>
      </w:pPr>
      <w:r w:rsidRPr="00165CC4">
        <w:rPr>
          <w:b/>
          <w:noProof/>
          <w:szCs w:val="24"/>
          <w:lang w:val="en-IE" w:eastAsia="en-GB"/>
        </w:rPr>
        <w:t xml:space="preserve">Independence </w:t>
      </w:r>
    </w:p>
    <w:p w14:paraId="04C7A9D3" w14:textId="5A3D8EED" w:rsidR="00165CC4" w:rsidRPr="00165CC4" w:rsidRDefault="00165CC4" w:rsidP="00165CC4">
      <w:pPr>
        <w:rPr>
          <w:noProof/>
          <w:szCs w:val="22"/>
          <w:lang w:val="en-IE" w:eastAsia="fr-FR"/>
        </w:rPr>
      </w:pPr>
      <w:r w:rsidRPr="00165CC4">
        <w:rPr>
          <w:b/>
          <w:bCs/>
          <w:noProof/>
          <w:szCs w:val="24"/>
          <w:lang w:val="en-IE" w:eastAsia="en-US"/>
        </w:rPr>
        <w:t>The level of perceived judicial independence in the Netherlands continues to be very high among both the general public and companies</w:t>
      </w:r>
      <w:r w:rsidRPr="00165CC4">
        <w:rPr>
          <w:noProof/>
          <w:szCs w:val="24"/>
          <w:lang w:val="en-IE" w:eastAsia="en-US"/>
        </w:rPr>
        <w:t>. Overall, 77</w:t>
      </w:r>
      <w:r w:rsidR="003B7214">
        <w:rPr>
          <w:noProof/>
          <w:szCs w:val="24"/>
          <w:lang w:val="en-IE" w:eastAsia="en-US"/>
        </w:rPr>
        <w:t> </w:t>
      </w:r>
      <w:r w:rsidRPr="00165CC4">
        <w:rPr>
          <w:noProof/>
          <w:szCs w:val="24"/>
          <w:lang w:val="en-IE" w:eastAsia="en-US"/>
        </w:rPr>
        <w:t>% of the general population and 85</w:t>
      </w:r>
      <w:r w:rsidR="003B7214">
        <w:rPr>
          <w:noProof/>
          <w:szCs w:val="24"/>
          <w:lang w:val="en-IE" w:eastAsia="en-US"/>
        </w:rPr>
        <w:t> </w:t>
      </w:r>
      <w:r w:rsidRPr="00165CC4">
        <w:rPr>
          <w:noProof/>
          <w:szCs w:val="24"/>
          <w:lang w:val="en-IE" w:eastAsia="en-US"/>
        </w:rPr>
        <w:t>% of companies perceive the level of independence of courts and judges to be ‘fairly or very good’ in 2026</w:t>
      </w:r>
      <w:r w:rsidRPr="00165CC4">
        <w:rPr>
          <w:rFonts w:eastAsiaTheme="minorHAnsi"/>
          <w:noProof/>
          <w:szCs w:val="24"/>
          <w:vertAlign w:val="superscript"/>
          <w:lang w:val="en-IE" w:eastAsia="en-US"/>
        </w:rPr>
        <w:footnoteReference w:id="2"/>
      </w:r>
      <w:r w:rsidRPr="00165CC4">
        <w:rPr>
          <w:noProof/>
          <w:szCs w:val="24"/>
          <w:lang w:val="en-IE" w:eastAsia="en-US"/>
        </w:rPr>
        <w:t>. Among the general public, this figure has slightly increased in comparison with 2025 (76</w:t>
      </w:r>
      <w:r w:rsidR="003B7214">
        <w:rPr>
          <w:noProof/>
          <w:szCs w:val="24"/>
          <w:lang w:val="en-IE" w:eastAsia="en-US"/>
        </w:rPr>
        <w:t> </w:t>
      </w:r>
      <w:r w:rsidRPr="00165CC4">
        <w:rPr>
          <w:noProof/>
          <w:szCs w:val="24"/>
          <w:lang w:val="en-IE" w:eastAsia="en-US"/>
        </w:rPr>
        <w:t>%) and remained at the same level as in 2022 (77</w:t>
      </w:r>
      <w:r w:rsidR="003B7214">
        <w:rPr>
          <w:noProof/>
          <w:szCs w:val="24"/>
          <w:lang w:val="en-IE" w:eastAsia="en-US"/>
        </w:rPr>
        <w:t> </w:t>
      </w:r>
      <w:r w:rsidRPr="00165CC4">
        <w:rPr>
          <w:noProof/>
          <w:szCs w:val="24"/>
          <w:lang w:val="en-IE" w:eastAsia="en-US"/>
        </w:rPr>
        <w:t xml:space="preserve">%). The perceived judicial independence among companies </w:t>
      </w:r>
      <w:r w:rsidRPr="00165CC4" w:rsidDel="00036C44">
        <w:rPr>
          <w:noProof/>
          <w:szCs w:val="24"/>
          <w:lang w:val="en-IE" w:eastAsia="en-US"/>
        </w:rPr>
        <w:t xml:space="preserve">has </w:t>
      </w:r>
      <w:r w:rsidRPr="00165CC4">
        <w:rPr>
          <w:noProof/>
          <w:szCs w:val="24"/>
          <w:lang w:val="en-IE" w:eastAsia="en-US"/>
        </w:rPr>
        <w:t>significantly increased in comparison with 2025 (75</w:t>
      </w:r>
      <w:r w:rsidR="003B7214">
        <w:rPr>
          <w:noProof/>
          <w:szCs w:val="24"/>
          <w:lang w:val="en-IE" w:eastAsia="en-US"/>
        </w:rPr>
        <w:t> </w:t>
      </w:r>
      <w:r w:rsidRPr="00165CC4">
        <w:rPr>
          <w:noProof/>
          <w:szCs w:val="24"/>
          <w:lang w:val="en-IE" w:eastAsia="en-US"/>
        </w:rPr>
        <w:t>%), as well as in comparison with 2022 (72</w:t>
      </w:r>
      <w:r w:rsidR="003B7214">
        <w:rPr>
          <w:noProof/>
          <w:szCs w:val="24"/>
          <w:lang w:val="en-IE" w:eastAsia="en-US"/>
        </w:rPr>
        <w:t> </w:t>
      </w:r>
      <w:r w:rsidRPr="00165CC4">
        <w:rPr>
          <w:noProof/>
          <w:szCs w:val="24"/>
          <w:lang w:val="en-IE" w:eastAsia="en-US"/>
        </w:rPr>
        <w:t xml:space="preserve">%). </w:t>
      </w:r>
      <w:r w:rsidRPr="00165CC4">
        <w:rPr>
          <w:noProof/>
          <w:szCs w:val="22"/>
          <w:lang w:val="en-IE" w:eastAsia="fr-FR"/>
        </w:rPr>
        <w:t>The Council for the Judiciary and the Dutch Association for the Judiciary expressed concern about certain statements of politicians criticising judges and their judicial decisions</w:t>
      </w:r>
      <w:r w:rsidRPr="00165CC4">
        <w:rPr>
          <w:noProof/>
          <w:szCs w:val="22"/>
          <w:vertAlign w:val="superscript"/>
          <w:lang w:val="en-IE" w:eastAsia="fr-FR"/>
        </w:rPr>
        <w:footnoteReference w:id="3"/>
      </w:r>
      <w:r w:rsidRPr="00165CC4">
        <w:rPr>
          <w:noProof/>
          <w:szCs w:val="22"/>
          <w:lang w:val="en-IE" w:eastAsia="fr-FR"/>
        </w:rPr>
        <w:t>.</w:t>
      </w:r>
      <w:r w:rsidRPr="00165CC4" w:rsidDel="00C7478F">
        <w:rPr>
          <w:noProof/>
          <w:szCs w:val="22"/>
          <w:lang w:val="en-IE" w:eastAsia="fr-FR"/>
        </w:rPr>
        <w:t xml:space="preserve"> </w:t>
      </w:r>
      <w:r w:rsidRPr="00165CC4">
        <w:rPr>
          <w:noProof/>
          <w:szCs w:val="22"/>
          <w:lang w:val="en-IE" w:eastAsia="fr-FR"/>
        </w:rPr>
        <w:t>While criticising judicial decisions is a normal aspect of democratic discourse, the executive and legislative powers should avoid criticism that undermines the independence or public confidence in the judiciary</w:t>
      </w:r>
      <w:r w:rsidRPr="00165CC4">
        <w:rPr>
          <w:noProof/>
          <w:szCs w:val="22"/>
          <w:vertAlign w:val="superscript"/>
          <w:lang w:val="en-IE" w:eastAsia="fr-FR"/>
        </w:rPr>
        <w:footnoteReference w:id="4"/>
      </w:r>
      <w:r w:rsidRPr="00165CC4">
        <w:rPr>
          <w:noProof/>
          <w:szCs w:val="22"/>
          <w:lang w:val="en-IE" w:eastAsia="fr-FR"/>
        </w:rPr>
        <w:t>.</w:t>
      </w:r>
    </w:p>
    <w:p w14:paraId="7ACAA3F1" w14:textId="77777777" w:rsidR="00165CC4" w:rsidRPr="00165CC4" w:rsidRDefault="00165CC4" w:rsidP="00165CC4">
      <w:pPr>
        <w:rPr>
          <w:noProof/>
          <w:szCs w:val="22"/>
          <w:lang w:val="en-IE" w:eastAsia="fr-FR"/>
        </w:rPr>
      </w:pPr>
      <w:r w:rsidRPr="00165CC4">
        <w:rPr>
          <w:b/>
          <w:bCs/>
          <w:noProof/>
          <w:szCs w:val="22"/>
          <w:lang w:val="en-IE" w:eastAsia="fr-FR"/>
        </w:rPr>
        <w:t xml:space="preserve">Parliamentary discussions continued on the legislative proposal to remove the executive’s power to give instructions to prosecutors in individual cases and additional proposals have been announced to strengthen rule of law safeguards. </w:t>
      </w:r>
      <w:r w:rsidRPr="00165CC4">
        <w:rPr>
          <w:noProof/>
          <w:szCs w:val="22"/>
          <w:lang w:val="en-IE" w:eastAsia="fr-FR"/>
        </w:rPr>
        <w:t>These initiatives follow calls by stakeholders to strengthen safeguards currently resting primarily on practice and legal culture</w:t>
      </w:r>
      <w:r w:rsidRPr="00165CC4">
        <w:rPr>
          <w:noProof/>
          <w:szCs w:val="22"/>
          <w:vertAlign w:val="superscript"/>
          <w:lang w:val="en-IE" w:eastAsia="fr-FR"/>
        </w:rPr>
        <w:footnoteReference w:id="5"/>
      </w:r>
      <w:r w:rsidRPr="00165CC4">
        <w:rPr>
          <w:noProof/>
          <w:szCs w:val="22"/>
          <w:lang w:val="en-IE" w:eastAsia="fr-FR"/>
        </w:rPr>
        <w:t xml:space="preserve">. A legislative proposal to remove the power of the Minister of Justice and Security to give instructions to the Public Prosecution Service in concrete </w:t>
      </w:r>
      <w:r w:rsidRPr="00165CC4" w:rsidDel="00D42FB5">
        <w:rPr>
          <w:noProof/>
          <w:szCs w:val="22"/>
          <w:lang w:val="en-IE" w:eastAsia="fr-FR"/>
        </w:rPr>
        <w:t xml:space="preserve">criminal </w:t>
      </w:r>
      <w:r w:rsidRPr="00165CC4">
        <w:rPr>
          <w:noProof/>
          <w:szCs w:val="22"/>
          <w:lang w:val="en-IE" w:eastAsia="fr-FR"/>
        </w:rPr>
        <w:t>cases was approved by the Chamber of Representatives</w:t>
      </w:r>
      <w:r w:rsidRPr="00165CC4">
        <w:rPr>
          <w:noProof/>
          <w:szCs w:val="22"/>
          <w:vertAlign w:val="superscript"/>
          <w:lang w:val="en-IE" w:eastAsia="fr-FR"/>
        </w:rPr>
        <w:footnoteReference w:id="6"/>
      </w:r>
      <w:r w:rsidRPr="00165CC4">
        <w:rPr>
          <w:noProof/>
          <w:szCs w:val="22"/>
          <w:lang w:val="en-IE" w:eastAsia="fr-FR"/>
        </w:rPr>
        <w:t xml:space="preserve"> and is now awaiting discussions in the Senate</w:t>
      </w:r>
      <w:r w:rsidRPr="00165CC4">
        <w:rPr>
          <w:noProof/>
          <w:szCs w:val="22"/>
          <w:vertAlign w:val="superscript"/>
          <w:lang w:val="en-IE" w:eastAsia="fr-FR"/>
        </w:rPr>
        <w:footnoteReference w:id="7"/>
      </w:r>
      <w:r w:rsidRPr="00165CC4">
        <w:rPr>
          <w:noProof/>
          <w:szCs w:val="22"/>
          <w:lang w:val="en-IE" w:eastAsia="fr-FR"/>
        </w:rPr>
        <w:t>. The Government has further announced a proposal to allow judges to review legislation against “classic” fundamental rights enshrined in the constitution</w:t>
      </w:r>
      <w:r w:rsidRPr="00165CC4">
        <w:rPr>
          <w:noProof/>
          <w:szCs w:val="22"/>
          <w:vertAlign w:val="superscript"/>
          <w:lang w:val="en-IE" w:eastAsia="fr-FR"/>
        </w:rPr>
        <w:footnoteReference w:id="8"/>
      </w:r>
      <w:r w:rsidRPr="00165CC4">
        <w:rPr>
          <w:noProof/>
          <w:szCs w:val="22"/>
          <w:lang w:val="en-IE" w:eastAsia="fr-FR"/>
        </w:rPr>
        <w:t>. These proposals were welcomed by the Council for the Judiciary and the Netherlands Bar Association</w:t>
      </w:r>
      <w:r w:rsidRPr="00165CC4">
        <w:rPr>
          <w:noProof/>
          <w:szCs w:val="22"/>
          <w:vertAlign w:val="superscript"/>
          <w:lang w:val="en-IE" w:eastAsia="fr-FR"/>
        </w:rPr>
        <w:footnoteReference w:id="9"/>
      </w:r>
      <w:r w:rsidRPr="00165CC4">
        <w:rPr>
          <w:noProof/>
          <w:szCs w:val="22"/>
          <w:lang w:val="en-IE" w:eastAsia="fr-FR"/>
        </w:rPr>
        <w:t>. The Government has also announced a proposal to give the judiciary its own budget and to remove the role of the Minister of Justice and Security in the appointment of members of the Council for the Judiciary</w:t>
      </w:r>
      <w:r w:rsidRPr="00165CC4">
        <w:rPr>
          <w:noProof/>
          <w:szCs w:val="22"/>
          <w:vertAlign w:val="superscript"/>
          <w:lang w:val="en-IE" w:eastAsia="fr-FR"/>
        </w:rPr>
        <w:footnoteReference w:id="10"/>
      </w:r>
      <w:r w:rsidRPr="00165CC4">
        <w:rPr>
          <w:noProof/>
          <w:szCs w:val="22"/>
          <w:lang w:val="en-IE" w:eastAsia="fr-FR"/>
        </w:rPr>
        <w:t>, a proposal which the Council for the Judiciary supports</w:t>
      </w:r>
      <w:r w:rsidRPr="00165CC4">
        <w:rPr>
          <w:noProof/>
          <w:szCs w:val="22"/>
          <w:vertAlign w:val="superscript"/>
          <w:lang w:val="en-IE" w:eastAsia="fr-FR"/>
        </w:rPr>
        <w:footnoteReference w:id="11"/>
      </w:r>
      <w:r w:rsidRPr="00165CC4">
        <w:rPr>
          <w:noProof/>
          <w:szCs w:val="22"/>
          <w:lang w:val="en-IE" w:eastAsia="fr-FR"/>
        </w:rPr>
        <w:t>. The Dutch Association for the Judiciary has reiterated its position that also the role of the Minister in the appointment of court management boards should be removed</w:t>
      </w:r>
      <w:r w:rsidRPr="00165CC4">
        <w:rPr>
          <w:noProof/>
          <w:szCs w:val="22"/>
          <w:vertAlign w:val="superscript"/>
          <w:lang w:val="en-IE" w:eastAsia="fr-FR"/>
        </w:rPr>
        <w:footnoteReference w:id="12"/>
      </w:r>
      <w:r w:rsidRPr="00165CC4">
        <w:rPr>
          <w:noProof/>
          <w:szCs w:val="22"/>
          <w:lang w:val="en-IE" w:eastAsia="fr-FR"/>
        </w:rPr>
        <w:t xml:space="preserve">. </w:t>
      </w:r>
    </w:p>
    <w:p w14:paraId="4B005FC4" w14:textId="77777777" w:rsidR="00165CC4" w:rsidRPr="00165CC4" w:rsidRDefault="00165CC4" w:rsidP="00165CC4">
      <w:pPr>
        <w:keepNext/>
        <w:outlineLvl w:val="1"/>
        <w:rPr>
          <w:b/>
          <w:noProof/>
          <w:szCs w:val="24"/>
          <w:lang w:val="en-IE" w:eastAsia="en-GB"/>
        </w:rPr>
      </w:pPr>
      <w:r w:rsidRPr="00165CC4">
        <w:rPr>
          <w:b/>
          <w:noProof/>
          <w:szCs w:val="24"/>
          <w:lang w:val="en-IE" w:eastAsia="en-GB"/>
        </w:rPr>
        <w:t>Quality</w:t>
      </w:r>
    </w:p>
    <w:p w14:paraId="6866CEEC" w14:textId="26F71926" w:rsidR="00165CC4" w:rsidRPr="00165CC4" w:rsidRDefault="00165CC4" w:rsidP="00165CC4">
      <w:pPr>
        <w:rPr>
          <w:noProof/>
          <w:szCs w:val="22"/>
          <w:lang w:val="en-IE" w:eastAsia="en-GB"/>
        </w:rPr>
      </w:pPr>
      <w:r w:rsidRPr="00165CC4">
        <w:rPr>
          <w:b/>
          <w:bCs/>
          <w:noProof/>
          <w:szCs w:val="22"/>
          <w:lang w:val="en-IE" w:eastAsia="fr-FR"/>
        </w:rPr>
        <w:t>Changes were made to t</w:t>
      </w:r>
      <w:r w:rsidRPr="00165CC4">
        <w:rPr>
          <w:b/>
          <w:bCs/>
          <w:noProof/>
          <w:szCs w:val="22"/>
          <w:lang w:val="en-IE" w:eastAsia="en-GB"/>
        </w:rPr>
        <w:t xml:space="preserve">he new regime of visual supervision of lawyer-client conversations in high-security prisons, amid concerns by lawyers. </w:t>
      </w:r>
      <w:r w:rsidRPr="00165CC4">
        <w:rPr>
          <w:noProof/>
          <w:szCs w:val="22"/>
          <w:lang w:val="en-IE" w:eastAsia="en-GB"/>
        </w:rPr>
        <w:t>On 1 November 2025, the law providing for visual supervision of all lawyer-client conversations in high security prisons entered into force, as part of the measures to fight organised crime</w:t>
      </w:r>
      <w:r w:rsidRPr="00165CC4">
        <w:rPr>
          <w:noProof/>
          <w:szCs w:val="22"/>
          <w:vertAlign w:val="superscript"/>
          <w:lang w:val="en-IE" w:eastAsia="en-GB"/>
        </w:rPr>
        <w:footnoteReference w:id="13"/>
      </w:r>
      <w:r w:rsidRPr="00165CC4">
        <w:rPr>
          <w:noProof/>
          <w:szCs w:val="22"/>
          <w:lang w:val="en-IE" w:eastAsia="en-GB"/>
        </w:rPr>
        <w:t>. The law provides that, in principle, confidential information</w:t>
      </w:r>
      <w:r w:rsidR="00F558B5">
        <w:rPr>
          <w:noProof/>
          <w:szCs w:val="22"/>
          <w:lang w:val="en-IE" w:eastAsia="en-GB"/>
        </w:rPr>
        <w:t xml:space="preserve"> fr</w:t>
      </w:r>
      <w:r w:rsidR="004C2F51">
        <w:rPr>
          <w:noProof/>
          <w:szCs w:val="22"/>
          <w:lang w:val="en-IE" w:eastAsia="en-GB"/>
        </w:rPr>
        <w:t>om such conversations</w:t>
      </w:r>
      <w:r w:rsidRPr="00165CC4">
        <w:rPr>
          <w:noProof/>
          <w:szCs w:val="22"/>
          <w:lang w:val="en-IE" w:eastAsia="en-GB"/>
        </w:rPr>
        <w:t xml:space="preserve"> may not be transmitted to third parties. Numerous lawyers however suspended their activities in high security prisons, expressing concerns about lawyer-client privilege</w:t>
      </w:r>
      <w:r w:rsidRPr="00165CC4">
        <w:rPr>
          <w:noProof/>
          <w:szCs w:val="22"/>
          <w:vertAlign w:val="superscript"/>
          <w:lang w:val="en-IE" w:eastAsia="en-GB"/>
        </w:rPr>
        <w:footnoteReference w:id="14"/>
      </w:r>
      <w:r w:rsidRPr="00165CC4">
        <w:rPr>
          <w:noProof/>
          <w:szCs w:val="22"/>
          <w:lang w:val="en-IE" w:eastAsia="en-GB"/>
        </w:rPr>
        <w:t>. They resumed their work after the Custodial Institutions Agency introduced changes to the new visual supervision regime</w:t>
      </w:r>
      <w:r w:rsidRPr="00165CC4">
        <w:rPr>
          <w:noProof/>
          <w:szCs w:val="22"/>
          <w:vertAlign w:val="superscript"/>
          <w:lang w:val="en-IE" w:eastAsia="en-GB"/>
        </w:rPr>
        <w:footnoteReference w:id="15"/>
      </w:r>
      <w:r w:rsidRPr="00165CC4">
        <w:rPr>
          <w:noProof/>
          <w:szCs w:val="22"/>
          <w:lang w:val="en-IE" w:eastAsia="en-GB"/>
        </w:rPr>
        <w:t>. The Netherlands Bar Association however still reports some concerns related to the presence of microphones in cameras and to the possibility for prison staff to intervene during lawyer-client conversations</w:t>
      </w:r>
      <w:r w:rsidRPr="00165CC4">
        <w:rPr>
          <w:noProof/>
          <w:szCs w:val="22"/>
          <w:vertAlign w:val="superscript"/>
          <w:lang w:val="en-IE" w:eastAsia="en-GB"/>
        </w:rPr>
        <w:footnoteReference w:id="16"/>
      </w:r>
      <w:r w:rsidRPr="00165CC4">
        <w:rPr>
          <w:noProof/>
          <w:szCs w:val="22"/>
          <w:lang w:val="en-IE" w:eastAsia="en-GB"/>
        </w:rPr>
        <w:t xml:space="preserve">. The Government </w:t>
      </w:r>
      <w:r w:rsidRPr="00165CC4" w:rsidDel="00C765B2">
        <w:rPr>
          <w:noProof/>
          <w:szCs w:val="22"/>
          <w:lang w:val="en-IE" w:eastAsia="en-GB"/>
        </w:rPr>
        <w:t xml:space="preserve">explained </w:t>
      </w:r>
      <w:r w:rsidRPr="00165CC4" w:rsidDel="00C765B2">
        <w:rPr>
          <w:rFonts w:eastAsiaTheme="minorHAnsi" w:cstheme="minorBidi"/>
          <w:noProof/>
          <w:szCs w:val="22"/>
          <w:lang w:val="en-IE" w:eastAsia="en-US"/>
        </w:rPr>
        <w:t xml:space="preserve">that </w:t>
      </w:r>
      <w:r w:rsidRPr="00165CC4">
        <w:rPr>
          <w:rFonts w:eastAsiaTheme="minorHAnsi" w:cstheme="minorBidi"/>
          <w:noProof/>
          <w:szCs w:val="22"/>
          <w:lang w:val="en-IE" w:eastAsia="en-US"/>
        </w:rPr>
        <w:t xml:space="preserve">no audio recordings are made during visits by lawyers. The Government also pointed to guidelines clarifying when prison staff are allowed to intervene, for example when pressure, coercion or threats </w:t>
      </w:r>
      <w:r w:rsidRPr="00165CC4" w:rsidDel="00F63EE7">
        <w:rPr>
          <w:rFonts w:eastAsiaTheme="minorHAnsi" w:cstheme="minorBidi"/>
          <w:noProof/>
          <w:szCs w:val="22"/>
          <w:lang w:val="en-IE" w:eastAsia="en-US"/>
        </w:rPr>
        <w:t>are directed at the lawyer</w:t>
      </w:r>
      <w:r w:rsidRPr="00165CC4">
        <w:rPr>
          <w:rFonts w:eastAsiaTheme="minorHAnsi" w:cstheme="minorBidi"/>
          <w:noProof/>
          <w:szCs w:val="22"/>
          <w:vertAlign w:val="superscript"/>
          <w:lang w:val="en-IE" w:eastAsia="en-US"/>
        </w:rPr>
        <w:footnoteReference w:id="17"/>
      </w:r>
      <w:r w:rsidRPr="00165CC4">
        <w:rPr>
          <w:rFonts w:eastAsiaTheme="minorHAnsi" w:cstheme="minorBidi"/>
          <w:noProof/>
          <w:szCs w:val="22"/>
          <w:lang w:val="en-IE" w:eastAsia="en-US"/>
        </w:rPr>
        <w:t>.</w:t>
      </w:r>
      <w:r w:rsidRPr="00165CC4">
        <w:rPr>
          <w:noProof/>
          <w:szCs w:val="22"/>
          <w:lang w:val="en-IE" w:eastAsia="en-GB"/>
        </w:rPr>
        <w:t xml:space="preserve"> The internal audit service of the Ministry of Justice and Security and the Audit Service of the State (</w:t>
      </w:r>
      <w:r w:rsidRPr="00903B26">
        <w:rPr>
          <w:noProof/>
          <w:szCs w:val="22"/>
          <w:lang w:val="en-IE" w:eastAsia="en-GB"/>
        </w:rPr>
        <w:t>Auditdienst Rijk</w:t>
      </w:r>
      <w:r w:rsidRPr="00165CC4">
        <w:rPr>
          <w:noProof/>
          <w:szCs w:val="22"/>
          <w:lang w:val="en-IE" w:eastAsia="en-GB"/>
        </w:rPr>
        <w:t>) have started the preliminary works for an audit of the regime</w:t>
      </w:r>
      <w:r w:rsidRPr="00165CC4">
        <w:rPr>
          <w:noProof/>
          <w:szCs w:val="22"/>
          <w:vertAlign w:val="superscript"/>
          <w:lang w:val="en-IE" w:eastAsia="en-GB"/>
        </w:rPr>
        <w:footnoteReference w:id="18"/>
      </w:r>
      <w:r w:rsidRPr="00165CC4">
        <w:rPr>
          <w:noProof/>
          <w:szCs w:val="22"/>
          <w:lang w:val="en-IE" w:eastAsia="en-GB"/>
        </w:rPr>
        <w:t xml:space="preserve">. </w:t>
      </w:r>
    </w:p>
    <w:p w14:paraId="4B1D2314" w14:textId="77777777" w:rsidR="00165CC4" w:rsidRPr="00165CC4" w:rsidRDefault="00165CC4" w:rsidP="00165CC4">
      <w:pPr>
        <w:rPr>
          <w:rFonts w:eastAsiaTheme="minorHAnsi" w:cstheme="minorBidi"/>
          <w:noProof/>
          <w:szCs w:val="22"/>
          <w:lang w:val="en-IE" w:eastAsia="fr-FR"/>
        </w:rPr>
      </w:pPr>
      <w:r w:rsidRPr="00165CC4">
        <w:rPr>
          <w:b/>
          <w:bCs/>
          <w:noProof/>
          <w:szCs w:val="22"/>
          <w:lang w:val="en-IE" w:eastAsia="en-GB"/>
        </w:rPr>
        <w:t>The digitalisation of justice is advanced overall.</w:t>
      </w:r>
      <w:r w:rsidRPr="00165CC4">
        <w:rPr>
          <w:rFonts w:eastAsiaTheme="minorHAnsi" w:cstheme="minorBidi"/>
          <w:b/>
          <w:bCs/>
          <w:noProof/>
          <w:szCs w:val="22"/>
          <w:lang w:val="en-IE" w:eastAsia="fr-FR"/>
        </w:rPr>
        <w:t xml:space="preserve"> </w:t>
      </w:r>
      <w:r w:rsidRPr="00165CC4">
        <w:rPr>
          <w:rFonts w:eastAsiaTheme="minorHAnsi" w:cstheme="minorBidi"/>
          <w:noProof/>
          <w:szCs w:val="22"/>
          <w:lang w:val="en-IE" w:eastAsia="fr-FR"/>
        </w:rPr>
        <w:t>The level of digitalisation is high</w:t>
      </w:r>
      <w:r w:rsidRPr="00165CC4">
        <w:rPr>
          <w:rFonts w:eastAsiaTheme="minorHAnsi" w:cstheme="minorBidi"/>
          <w:noProof/>
          <w:szCs w:val="22"/>
          <w:vertAlign w:val="superscript"/>
          <w:lang w:val="en-IE" w:eastAsia="fr-FR"/>
        </w:rPr>
        <w:footnoteReference w:id="19"/>
      </w:r>
      <w:r w:rsidRPr="00165CC4">
        <w:rPr>
          <w:rFonts w:eastAsiaTheme="minorHAnsi" w:cstheme="minorBidi"/>
          <w:noProof/>
          <w:szCs w:val="22"/>
          <w:lang w:val="en-IE" w:eastAsia="fr-FR"/>
        </w:rPr>
        <w:t>, including the availability of electronic communication tools in courts</w:t>
      </w:r>
      <w:r w:rsidRPr="00165CC4">
        <w:rPr>
          <w:rFonts w:eastAsiaTheme="minorHAnsi" w:cstheme="minorBidi"/>
          <w:noProof/>
          <w:szCs w:val="22"/>
          <w:vertAlign w:val="superscript"/>
          <w:lang w:val="en-IE" w:eastAsia="fr-FR"/>
        </w:rPr>
        <w:footnoteReference w:id="20"/>
      </w:r>
      <w:r w:rsidRPr="00165CC4">
        <w:rPr>
          <w:rFonts w:eastAsiaTheme="minorHAnsi" w:cstheme="minorBidi"/>
          <w:noProof/>
          <w:szCs w:val="22"/>
          <w:lang w:val="en-IE" w:eastAsia="fr-FR"/>
        </w:rPr>
        <w:t>. The digitalisation of legal proceedings through the electronic exchange of documents and secure electronic communications via digital portals was extended to civil proceedings</w:t>
      </w:r>
      <w:r w:rsidRPr="00165CC4">
        <w:rPr>
          <w:rFonts w:eastAsiaTheme="minorHAnsi" w:cstheme="minorBidi"/>
          <w:noProof/>
          <w:szCs w:val="22"/>
          <w:vertAlign w:val="superscript"/>
          <w:lang w:val="en-IE" w:eastAsia="fr-FR"/>
        </w:rPr>
        <w:footnoteReference w:id="21"/>
      </w:r>
      <w:r w:rsidRPr="00165CC4">
        <w:rPr>
          <w:rFonts w:eastAsiaTheme="minorHAnsi" w:cstheme="minorBidi"/>
          <w:noProof/>
          <w:szCs w:val="22"/>
          <w:lang w:val="en-IE" w:eastAsia="fr-FR"/>
        </w:rPr>
        <w:t>. In a judgment of</w:t>
      </w:r>
      <w:r w:rsidRPr="00165CC4" w:rsidDel="005E56ED">
        <w:rPr>
          <w:rFonts w:eastAsiaTheme="minorHAnsi" w:cstheme="minorBidi"/>
          <w:noProof/>
          <w:szCs w:val="22"/>
          <w:lang w:val="en-IE" w:eastAsia="fr-FR"/>
        </w:rPr>
        <w:t xml:space="preserve"> </w:t>
      </w:r>
      <w:r w:rsidRPr="00165CC4">
        <w:rPr>
          <w:rFonts w:eastAsiaTheme="minorHAnsi" w:cstheme="minorBidi"/>
          <w:noProof/>
          <w:szCs w:val="22"/>
          <w:lang w:val="en-IE" w:eastAsia="fr-FR"/>
        </w:rPr>
        <w:t>June 2025, the Supreme Court held that hearings in civil cases can take place in a hybrid form when duly motivated</w:t>
      </w:r>
      <w:r w:rsidRPr="00165CC4">
        <w:rPr>
          <w:rFonts w:eastAsiaTheme="minorHAnsi" w:cstheme="minorBidi"/>
          <w:noProof/>
          <w:szCs w:val="22"/>
          <w:vertAlign w:val="superscript"/>
          <w:lang w:val="en-IE" w:eastAsia="fr-FR"/>
        </w:rPr>
        <w:footnoteReference w:id="22"/>
      </w:r>
      <w:r w:rsidRPr="00165CC4">
        <w:rPr>
          <w:rFonts w:eastAsiaTheme="minorHAnsi" w:cstheme="minorBidi"/>
          <w:noProof/>
          <w:szCs w:val="22"/>
          <w:lang w:val="en-IE" w:eastAsia="fr-FR"/>
        </w:rPr>
        <w:t>. Four tribunals will start using an experimental AI tool for the pseudonymisation of judgments before publication</w:t>
      </w:r>
      <w:r w:rsidRPr="00165CC4">
        <w:rPr>
          <w:rFonts w:eastAsiaTheme="minorHAnsi" w:cstheme="minorBidi"/>
          <w:noProof/>
          <w:szCs w:val="22"/>
          <w:vertAlign w:val="superscript"/>
          <w:lang w:val="en-IE" w:eastAsia="fr-FR"/>
        </w:rPr>
        <w:footnoteReference w:id="23"/>
      </w:r>
      <w:r w:rsidRPr="00165CC4">
        <w:rPr>
          <w:rFonts w:eastAsiaTheme="minorHAnsi" w:cstheme="minorBidi"/>
          <w:noProof/>
          <w:szCs w:val="22"/>
          <w:lang w:val="en-IE" w:eastAsia="fr-FR"/>
        </w:rPr>
        <w:t>. The existing Online Dispute Resolution tool will be further expanded in 2026 under the supervision of the Council for the Judiciary</w:t>
      </w:r>
      <w:r w:rsidRPr="00165CC4">
        <w:rPr>
          <w:rFonts w:eastAsiaTheme="minorHAnsi" w:cstheme="minorBidi"/>
          <w:noProof/>
          <w:szCs w:val="22"/>
          <w:vertAlign w:val="superscript"/>
          <w:lang w:val="en-IE" w:eastAsia="fr-FR"/>
        </w:rPr>
        <w:footnoteReference w:id="24"/>
      </w:r>
      <w:r w:rsidRPr="00165CC4">
        <w:rPr>
          <w:rFonts w:eastAsiaTheme="minorHAnsi" w:cstheme="minorBidi"/>
          <w:noProof/>
          <w:szCs w:val="22"/>
          <w:lang w:val="en-IE" w:eastAsia="fr-FR"/>
        </w:rPr>
        <w:t xml:space="preserve"> and an evaluation is scheduled for 2027</w:t>
      </w:r>
      <w:r w:rsidRPr="00165CC4">
        <w:rPr>
          <w:rFonts w:eastAsiaTheme="minorHAnsi" w:cstheme="minorBidi"/>
          <w:noProof/>
          <w:szCs w:val="22"/>
          <w:vertAlign w:val="superscript"/>
          <w:lang w:val="en-IE" w:eastAsia="fr-FR"/>
        </w:rPr>
        <w:footnoteReference w:id="25"/>
      </w:r>
      <w:r w:rsidRPr="00165CC4">
        <w:rPr>
          <w:rFonts w:eastAsiaTheme="minorHAnsi" w:cstheme="minorBidi"/>
          <w:noProof/>
          <w:szCs w:val="22"/>
          <w:lang w:val="en-IE" w:eastAsia="fr-FR"/>
        </w:rPr>
        <w:t>. Reflections in the judiciary</w:t>
      </w:r>
      <w:r w:rsidRPr="00165CC4" w:rsidDel="00C76541">
        <w:rPr>
          <w:rFonts w:eastAsiaTheme="minorHAnsi" w:cstheme="minorBidi"/>
          <w:noProof/>
          <w:szCs w:val="22"/>
          <w:lang w:val="en-IE" w:eastAsia="fr-FR"/>
        </w:rPr>
        <w:t xml:space="preserve"> </w:t>
      </w:r>
      <w:r w:rsidRPr="00165CC4">
        <w:rPr>
          <w:rFonts w:eastAsiaTheme="minorHAnsi" w:cstheme="minorBidi"/>
          <w:noProof/>
          <w:szCs w:val="22"/>
          <w:lang w:val="en-IE" w:eastAsia="fr-FR"/>
        </w:rPr>
        <w:t>are ongoing on how to implement artificial intelligence in the daily work, starting with low-risk applications</w:t>
      </w:r>
      <w:r w:rsidRPr="00165CC4">
        <w:rPr>
          <w:rFonts w:eastAsiaTheme="minorHAnsi" w:cstheme="minorBidi"/>
          <w:noProof/>
          <w:szCs w:val="22"/>
          <w:vertAlign w:val="superscript"/>
          <w:lang w:val="en-IE" w:eastAsia="fr-FR"/>
        </w:rPr>
        <w:footnoteReference w:id="26"/>
      </w:r>
      <w:r w:rsidRPr="00165CC4">
        <w:rPr>
          <w:rFonts w:eastAsiaTheme="minorHAnsi" w:cstheme="minorBidi"/>
          <w:noProof/>
          <w:szCs w:val="22"/>
          <w:lang w:val="en-IE" w:eastAsia="fr-FR"/>
        </w:rPr>
        <w:t>. The Public Prosecution Service continues to invest in its IT systems to prevent security breaches following an incident in the summer of 2025</w:t>
      </w:r>
      <w:r w:rsidRPr="00165CC4">
        <w:rPr>
          <w:rFonts w:eastAsiaTheme="minorHAnsi" w:cstheme="minorBidi"/>
          <w:noProof/>
          <w:szCs w:val="22"/>
          <w:vertAlign w:val="superscript"/>
          <w:lang w:val="en-IE" w:eastAsia="fr-FR"/>
        </w:rPr>
        <w:footnoteReference w:id="27"/>
      </w:r>
      <w:r w:rsidRPr="00165CC4">
        <w:rPr>
          <w:rFonts w:eastAsiaTheme="minorHAnsi" w:cstheme="minorBidi"/>
          <w:noProof/>
          <w:szCs w:val="22"/>
          <w:lang w:val="en-IE" w:eastAsia="fr-FR"/>
        </w:rPr>
        <w:t xml:space="preserve">. </w:t>
      </w:r>
    </w:p>
    <w:p w14:paraId="37D78CF5" w14:textId="66B2C621" w:rsidR="00165CC4" w:rsidRPr="00165CC4" w:rsidRDefault="00165CC4" w:rsidP="00165CC4">
      <w:pPr>
        <w:rPr>
          <w:noProof/>
          <w:szCs w:val="22"/>
          <w:lang w:val="en-IE" w:eastAsia="en-GB"/>
        </w:rPr>
      </w:pPr>
      <w:r w:rsidRPr="00165CC4">
        <w:rPr>
          <w:b/>
          <w:bCs/>
          <w:noProof/>
          <w:szCs w:val="22"/>
          <w:lang w:val="en-IE" w:eastAsia="en-GB"/>
        </w:rPr>
        <w:t>Significant progress has been made on the recommendation to improve working conditions in the justice system and address staff shortages</w:t>
      </w:r>
      <w:r w:rsidRPr="00165CC4">
        <w:rPr>
          <w:b/>
          <w:bCs/>
          <w:noProof/>
          <w:szCs w:val="22"/>
          <w:vertAlign w:val="superscript"/>
          <w:lang w:val="en-IE" w:eastAsia="en-GB"/>
        </w:rPr>
        <w:footnoteReference w:id="28"/>
      </w:r>
      <w:r w:rsidRPr="00165CC4">
        <w:rPr>
          <w:b/>
          <w:bCs/>
          <w:noProof/>
          <w:szCs w:val="22"/>
          <w:lang w:val="en-IE" w:eastAsia="en-GB"/>
        </w:rPr>
        <w:t xml:space="preserve">. </w:t>
      </w:r>
      <w:r w:rsidRPr="00165CC4">
        <w:rPr>
          <w:noProof/>
          <w:szCs w:val="22"/>
          <w:lang w:val="en-IE" w:eastAsia="en-GB"/>
        </w:rPr>
        <w:t>An agreement between the Minister for Justice and Security and the Council for the Judiciary provides for an additional EUR</w:t>
      </w:r>
      <w:r w:rsidR="004778AD">
        <w:rPr>
          <w:noProof/>
          <w:szCs w:val="22"/>
          <w:lang w:val="en-IE" w:eastAsia="en-GB"/>
        </w:rPr>
        <w:t> </w:t>
      </w:r>
      <w:r w:rsidRPr="00165CC4">
        <w:rPr>
          <w:noProof/>
          <w:szCs w:val="22"/>
          <w:lang w:val="en-IE" w:eastAsia="en-GB"/>
        </w:rPr>
        <w:t>31 million for the judiciary in 2026 and EUR</w:t>
      </w:r>
      <w:r w:rsidR="004778AD">
        <w:rPr>
          <w:noProof/>
          <w:szCs w:val="22"/>
          <w:lang w:val="en-IE" w:eastAsia="en-GB"/>
        </w:rPr>
        <w:t> </w:t>
      </w:r>
      <w:r w:rsidRPr="00165CC4">
        <w:rPr>
          <w:noProof/>
          <w:szCs w:val="22"/>
          <w:lang w:val="en-IE" w:eastAsia="en-GB"/>
        </w:rPr>
        <w:t>50 million for both 2027 and 2028</w:t>
      </w:r>
      <w:r w:rsidRPr="00165CC4">
        <w:rPr>
          <w:noProof/>
          <w:szCs w:val="22"/>
          <w:vertAlign w:val="superscript"/>
          <w:lang w:val="en-IE" w:eastAsia="en-GB"/>
        </w:rPr>
        <w:footnoteReference w:id="29"/>
      </w:r>
      <w:r w:rsidRPr="00165CC4">
        <w:rPr>
          <w:noProof/>
          <w:szCs w:val="22"/>
          <w:lang w:val="en-IE" w:eastAsia="en-GB"/>
        </w:rPr>
        <w:t>. In March 2026, the Minister informed the Chamber of Representatives that a temporary scheme to allow judges to continue to work until the age of 73 had proven successful in increasing the capacity of the judiciary and that legislation is being prepared to make the scheme permanent</w:t>
      </w:r>
      <w:r w:rsidRPr="00165CC4">
        <w:rPr>
          <w:noProof/>
          <w:szCs w:val="22"/>
          <w:vertAlign w:val="superscript"/>
          <w:lang w:val="en-IE" w:eastAsia="en-GB"/>
        </w:rPr>
        <w:footnoteReference w:id="30"/>
      </w:r>
      <w:r w:rsidRPr="00165CC4">
        <w:rPr>
          <w:noProof/>
          <w:szCs w:val="22"/>
          <w:lang w:val="en-IE" w:eastAsia="en-GB"/>
        </w:rPr>
        <w:t>. While workload remains high, the Council for the Judiciary, based on a 2025 time-allocation study, reported a decrease in overtime</w:t>
      </w:r>
      <w:r w:rsidRPr="00165CC4">
        <w:rPr>
          <w:noProof/>
          <w:szCs w:val="22"/>
          <w:vertAlign w:val="superscript"/>
          <w:lang w:val="en-IE" w:eastAsia="en-GB"/>
        </w:rPr>
        <w:footnoteReference w:id="31"/>
      </w:r>
      <w:r w:rsidRPr="00165CC4">
        <w:rPr>
          <w:noProof/>
          <w:szCs w:val="22"/>
          <w:lang w:val="en-IE" w:eastAsia="en-GB"/>
        </w:rPr>
        <w:t xml:space="preserve">. </w:t>
      </w:r>
      <w:r w:rsidR="002F59DE">
        <w:rPr>
          <w:noProof/>
          <w:szCs w:val="22"/>
          <w:lang w:val="en-IE" w:eastAsia="en-GB"/>
        </w:rPr>
        <w:t xml:space="preserve">An employee </w:t>
      </w:r>
      <w:r w:rsidR="00963B89">
        <w:rPr>
          <w:noProof/>
          <w:szCs w:val="22"/>
          <w:lang w:val="en-IE" w:eastAsia="en-GB"/>
        </w:rPr>
        <w:t>s</w:t>
      </w:r>
      <w:r w:rsidR="002F59DE">
        <w:rPr>
          <w:noProof/>
          <w:szCs w:val="22"/>
          <w:lang w:val="en-IE" w:eastAsia="en-GB"/>
        </w:rPr>
        <w:t>urvey, conducted in 2025, further confirms that</w:t>
      </w:r>
      <w:r w:rsidR="00DE2DC4">
        <w:rPr>
          <w:noProof/>
          <w:szCs w:val="22"/>
          <w:lang w:val="en-IE" w:eastAsia="en-GB"/>
        </w:rPr>
        <w:t>,</w:t>
      </w:r>
      <w:r w:rsidR="002F59DE">
        <w:rPr>
          <w:noProof/>
          <w:szCs w:val="22"/>
          <w:lang w:val="en-IE" w:eastAsia="en-GB"/>
        </w:rPr>
        <w:t xml:space="preserve"> although</w:t>
      </w:r>
      <w:r w:rsidR="00DE2DC4">
        <w:rPr>
          <w:noProof/>
          <w:szCs w:val="22"/>
          <w:lang w:val="en-IE" w:eastAsia="en-GB"/>
        </w:rPr>
        <w:t xml:space="preserve"> judges still experience a high workload, it has decreased since 2022, aligning with the findings of the time-allocation study. </w:t>
      </w:r>
      <w:r w:rsidRPr="00165CC4">
        <w:rPr>
          <w:noProof/>
          <w:szCs w:val="22"/>
          <w:lang w:val="en-IE" w:eastAsia="en-GB"/>
        </w:rPr>
        <w:t>The profession of judge remains attractive, and the judiciary continues to work towards recruiting 140 trainee judges each year, which would mean that the workforce remains stable and could potentially increase in the coming years</w:t>
      </w:r>
      <w:r w:rsidRPr="00165CC4">
        <w:rPr>
          <w:noProof/>
          <w:szCs w:val="22"/>
          <w:vertAlign w:val="superscript"/>
          <w:lang w:val="en-IE" w:eastAsia="en-GB"/>
        </w:rPr>
        <w:footnoteReference w:id="32"/>
      </w:r>
      <w:r w:rsidRPr="00165CC4">
        <w:rPr>
          <w:noProof/>
          <w:szCs w:val="22"/>
          <w:lang w:val="en-IE" w:eastAsia="en-GB"/>
        </w:rPr>
        <w:t>. In 2025 there were 258 trainee judges</w:t>
      </w:r>
      <w:r w:rsidRPr="00165CC4">
        <w:rPr>
          <w:noProof/>
          <w:szCs w:val="22"/>
          <w:vertAlign w:val="superscript"/>
          <w:lang w:val="en-IE" w:eastAsia="en-GB"/>
        </w:rPr>
        <w:footnoteReference w:id="33"/>
      </w:r>
      <w:r w:rsidRPr="00165CC4">
        <w:rPr>
          <w:noProof/>
          <w:szCs w:val="22"/>
          <w:lang w:val="en-IE" w:eastAsia="en-GB"/>
        </w:rPr>
        <w:t>. The European Association for Judges (EAJ) reports that the current training programme for judges in the Netherlands imposes a substantial administrative burden on practical supervisors, which adds to their workload</w:t>
      </w:r>
      <w:r w:rsidRPr="00165CC4">
        <w:rPr>
          <w:noProof/>
          <w:szCs w:val="22"/>
          <w:vertAlign w:val="superscript"/>
          <w:lang w:val="en-IE" w:eastAsia="en-GB"/>
        </w:rPr>
        <w:footnoteReference w:id="34"/>
      </w:r>
      <w:r w:rsidRPr="00165CC4">
        <w:rPr>
          <w:noProof/>
          <w:szCs w:val="22"/>
          <w:lang w:val="en-IE" w:eastAsia="en-GB"/>
        </w:rPr>
        <w:t>. Investments in judicial support staff were made in four courts, and an evaluation is planned after</w:t>
      </w:r>
      <w:r w:rsidRPr="00165CC4" w:rsidDel="007862BB">
        <w:rPr>
          <w:noProof/>
          <w:szCs w:val="22"/>
          <w:lang w:val="en-IE" w:eastAsia="en-GB"/>
        </w:rPr>
        <w:t xml:space="preserve"> </w:t>
      </w:r>
      <w:r w:rsidRPr="00165CC4">
        <w:rPr>
          <w:noProof/>
          <w:szCs w:val="22"/>
          <w:lang w:val="en-IE" w:eastAsia="en-GB"/>
        </w:rPr>
        <w:t>one year</w:t>
      </w:r>
      <w:r w:rsidRPr="00165CC4">
        <w:rPr>
          <w:noProof/>
          <w:szCs w:val="22"/>
          <w:vertAlign w:val="superscript"/>
          <w:lang w:val="en-IE" w:eastAsia="en-GB"/>
        </w:rPr>
        <w:footnoteReference w:id="35"/>
      </w:r>
      <w:r w:rsidRPr="00165CC4">
        <w:rPr>
          <w:noProof/>
          <w:szCs w:val="22"/>
          <w:lang w:val="en-IE" w:eastAsia="en-GB"/>
        </w:rPr>
        <w:t>. The Public Prosecution Service has meanwhile recruited 240 prosecutors (out of the planned 250) and considers that the shortage of public prosecutors has been solved</w:t>
      </w:r>
      <w:r w:rsidRPr="00165CC4">
        <w:rPr>
          <w:noProof/>
          <w:szCs w:val="22"/>
          <w:vertAlign w:val="superscript"/>
          <w:lang w:val="en-IE" w:eastAsia="en-GB"/>
        </w:rPr>
        <w:footnoteReference w:id="36"/>
      </w:r>
      <w:r w:rsidRPr="00165CC4">
        <w:rPr>
          <w:noProof/>
          <w:szCs w:val="22"/>
          <w:lang w:val="en-IE" w:eastAsia="en-GB"/>
        </w:rPr>
        <w:t>. The Council of State reported that while there is no shortage of judges in the Administrative Jurisdiction Division, there are not enough lawyers supporting the judges</w:t>
      </w:r>
      <w:r w:rsidRPr="00165CC4">
        <w:rPr>
          <w:noProof/>
          <w:szCs w:val="22"/>
          <w:vertAlign w:val="superscript"/>
          <w:lang w:val="en-IE" w:eastAsia="en-GB"/>
        </w:rPr>
        <w:footnoteReference w:id="37"/>
      </w:r>
      <w:r w:rsidRPr="00165CC4">
        <w:rPr>
          <w:noProof/>
          <w:szCs w:val="22"/>
          <w:lang w:val="en-IE" w:eastAsia="en-GB"/>
        </w:rPr>
        <w:t>. The Council of State also indicated that despite a high workload due to the complexity and high number of cases, f</w:t>
      </w:r>
      <w:r w:rsidRPr="00165CC4" w:rsidDel="00BF290C">
        <w:rPr>
          <w:noProof/>
          <w:szCs w:val="22"/>
          <w:lang w:val="en-IE" w:eastAsia="en-GB"/>
        </w:rPr>
        <w:t>or the first time in five years, the outflow of cases was slightly higher than the inflow</w:t>
      </w:r>
      <w:r w:rsidR="00EF3DBA">
        <w:rPr>
          <w:rStyle w:val="FootnoteReference"/>
          <w:noProof/>
          <w:szCs w:val="22"/>
          <w:lang w:val="en-IE" w:eastAsia="en-GB"/>
        </w:rPr>
        <w:footnoteReference w:id="38"/>
      </w:r>
      <w:r w:rsidRPr="00165CC4" w:rsidDel="00BF290C">
        <w:rPr>
          <w:noProof/>
          <w:szCs w:val="22"/>
          <w:lang w:val="en-IE" w:eastAsia="en-GB"/>
        </w:rPr>
        <w:t>.</w:t>
      </w:r>
      <w:r w:rsidRPr="00165CC4">
        <w:rPr>
          <w:noProof/>
          <w:szCs w:val="22"/>
          <w:lang w:val="en-IE" w:eastAsia="en-GB"/>
        </w:rPr>
        <w:t xml:space="preserve"> In light of the efforts made, there has been significant progress in implementing this recommendation.</w:t>
      </w:r>
    </w:p>
    <w:p w14:paraId="634772E9" w14:textId="3222F26E" w:rsidR="00165CC4" w:rsidRPr="00165CC4" w:rsidRDefault="00165CC4" w:rsidP="00165CC4">
      <w:pPr>
        <w:rPr>
          <w:noProof/>
          <w:szCs w:val="24"/>
          <w:lang w:val="en-IE" w:eastAsia="en-GB"/>
        </w:rPr>
      </w:pPr>
      <w:r w:rsidRPr="00165CC4">
        <w:rPr>
          <w:b/>
          <w:noProof/>
          <w:szCs w:val="24"/>
          <w:lang w:val="en-IE" w:eastAsia="en-GB"/>
        </w:rPr>
        <w:t xml:space="preserve">The Government decided to structurally increase funding for legal aid. </w:t>
      </w:r>
      <w:r w:rsidRPr="00165CC4">
        <w:rPr>
          <w:bCs/>
          <w:noProof/>
          <w:szCs w:val="24"/>
          <w:lang w:val="en-IE" w:eastAsia="en-GB"/>
        </w:rPr>
        <w:t>On 1 February 2026, amendments to the Legal Aid Fees Decree 2000</w:t>
      </w:r>
      <w:r w:rsidRPr="00165CC4">
        <w:rPr>
          <w:bCs/>
          <w:noProof/>
          <w:szCs w:val="24"/>
          <w:vertAlign w:val="superscript"/>
          <w:lang w:val="en-IE" w:eastAsia="en-GB"/>
        </w:rPr>
        <w:footnoteReference w:id="39"/>
      </w:r>
      <w:r w:rsidRPr="00165CC4">
        <w:rPr>
          <w:bCs/>
          <w:noProof/>
          <w:szCs w:val="24"/>
          <w:lang w:val="en-IE" w:eastAsia="en-GB"/>
        </w:rPr>
        <w:t xml:space="preserve"> entered into force, increasing the funding for legal aid</w:t>
      </w:r>
      <w:r w:rsidR="00E309F1">
        <w:rPr>
          <w:bCs/>
          <w:noProof/>
          <w:szCs w:val="24"/>
          <w:lang w:val="en-IE" w:eastAsia="en-GB"/>
        </w:rPr>
        <w:t>. This amounts to</w:t>
      </w:r>
      <w:r w:rsidRPr="00165CC4">
        <w:rPr>
          <w:bCs/>
          <w:noProof/>
          <w:szCs w:val="24"/>
          <w:lang w:val="en-IE" w:eastAsia="en-GB"/>
        </w:rPr>
        <w:t xml:space="preserve"> EUR 30 million</w:t>
      </w:r>
      <w:r w:rsidR="00354A29">
        <w:rPr>
          <w:bCs/>
          <w:noProof/>
          <w:szCs w:val="24"/>
          <w:lang w:val="en-IE" w:eastAsia="en-GB"/>
        </w:rPr>
        <w:t xml:space="preserve"> structurally for</w:t>
      </w:r>
      <w:r w:rsidRPr="00165CC4">
        <w:rPr>
          <w:bCs/>
          <w:noProof/>
          <w:szCs w:val="24"/>
          <w:lang w:val="en-IE" w:eastAsia="en-GB"/>
        </w:rPr>
        <w:t xml:space="preserve"> 2027</w:t>
      </w:r>
      <w:r w:rsidR="00354A29">
        <w:rPr>
          <w:bCs/>
          <w:noProof/>
          <w:szCs w:val="24"/>
          <w:lang w:val="en-IE" w:eastAsia="en-GB"/>
        </w:rPr>
        <w:t xml:space="preserve"> onwards and a lower amount for 2026 due to the moment of entry into force and the fact that a large number of cases started in 2026 will be </w:t>
      </w:r>
      <w:r w:rsidR="0087682C">
        <w:rPr>
          <w:bCs/>
          <w:noProof/>
          <w:szCs w:val="24"/>
          <w:lang w:val="en-IE" w:eastAsia="en-GB"/>
        </w:rPr>
        <w:t>submitted for reimbursement after 2026</w:t>
      </w:r>
      <w:r w:rsidRPr="00165CC4">
        <w:rPr>
          <w:bCs/>
          <w:noProof/>
          <w:szCs w:val="24"/>
          <w:vertAlign w:val="superscript"/>
          <w:lang w:val="en-IE" w:eastAsia="en-GB"/>
        </w:rPr>
        <w:footnoteReference w:id="40"/>
      </w:r>
      <w:r w:rsidRPr="00165CC4">
        <w:rPr>
          <w:bCs/>
          <w:noProof/>
          <w:szCs w:val="24"/>
          <w:lang w:val="en-IE" w:eastAsia="en-GB"/>
        </w:rPr>
        <w:t>. With these amendments, the Government followed up on an independent review</w:t>
      </w:r>
      <w:r w:rsidRPr="00165CC4">
        <w:rPr>
          <w:bCs/>
          <w:noProof/>
          <w:szCs w:val="24"/>
          <w:vertAlign w:val="superscript"/>
          <w:lang w:val="en-IE" w:eastAsia="en-GB"/>
        </w:rPr>
        <w:footnoteReference w:id="41"/>
      </w:r>
      <w:r w:rsidRPr="00165CC4">
        <w:rPr>
          <w:bCs/>
          <w:noProof/>
          <w:szCs w:val="24"/>
          <w:lang w:val="en-IE" w:eastAsia="en-GB"/>
        </w:rPr>
        <w:t>. The Netherlands Bar Association and civil society organisations welcomed the increase in funding, while flagging that the independent review had recommended a EUR 40 million increase. They also</w:t>
      </w:r>
      <w:r w:rsidRPr="00165CC4">
        <w:rPr>
          <w:noProof/>
          <w:szCs w:val="24"/>
          <w:lang w:val="en-IE" w:eastAsia="en-GB"/>
        </w:rPr>
        <w:t xml:space="preserve"> highlighted the absence of an office allowance, as well as what they consider to be a too low reimbursement rate of legal aid fees</w:t>
      </w:r>
      <w:r w:rsidRPr="00165CC4">
        <w:rPr>
          <w:noProof/>
          <w:szCs w:val="24"/>
          <w:vertAlign w:val="superscript"/>
          <w:lang w:val="en-IE" w:eastAsia="en-GB"/>
        </w:rPr>
        <w:footnoteReference w:id="42"/>
      </w:r>
      <w:r w:rsidRPr="00165CC4">
        <w:rPr>
          <w:noProof/>
          <w:szCs w:val="24"/>
          <w:lang w:val="en-IE" w:eastAsia="en-GB"/>
        </w:rPr>
        <w:t>. As of 1 January 2026, the citizens of the Caribbean Netherlands have access to a service providing legal advice</w:t>
      </w:r>
      <w:r w:rsidRPr="00165CC4">
        <w:rPr>
          <w:noProof/>
          <w:szCs w:val="24"/>
          <w:vertAlign w:val="superscript"/>
          <w:lang w:val="en-IE" w:eastAsia="en-GB"/>
        </w:rPr>
        <w:footnoteReference w:id="43"/>
      </w:r>
      <w:r w:rsidRPr="00165CC4">
        <w:rPr>
          <w:noProof/>
          <w:szCs w:val="24"/>
          <w:lang w:val="en-IE" w:eastAsia="en-GB"/>
        </w:rPr>
        <w:t xml:space="preserve">. </w:t>
      </w:r>
    </w:p>
    <w:p w14:paraId="471041AA" w14:textId="77B9E41F" w:rsidR="00165CC4" w:rsidRDefault="00165CC4" w:rsidP="00165CC4">
      <w:pPr>
        <w:contextualSpacing/>
        <w:rPr>
          <w:noProof/>
          <w:szCs w:val="22"/>
          <w:lang w:val="en-IE" w:eastAsia="en-GB"/>
        </w:rPr>
      </w:pPr>
      <w:r w:rsidRPr="00165CC4">
        <w:rPr>
          <w:b/>
          <w:noProof/>
          <w:szCs w:val="22"/>
          <w:lang w:val="en-IE" w:eastAsia="en-GB"/>
        </w:rPr>
        <w:t>Pending the results of an impact assessment, the prosecution service has halted the possibility to decide on certain criminal cases without involving a judge</w:t>
      </w:r>
      <w:r w:rsidRPr="00165CC4">
        <w:rPr>
          <w:noProof/>
          <w:szCs w:val="22"/>
          <w:vertAlign w:val="superscript"/>
          <w:lang w:val="en-IE" w:eastAsia="en-GB"/>
        </w:rPr>
        <w:footnoteReference w:id="44"/>
      </w:r>
      <w:r w:rsidRPr="00165CC4">
        <w:rPr>
          <w:b/>
          <w:noProof/>
          <w:szCs w:val="22"/>
          <w:lang w:val="en-IE" w:eastAsia="en-GB"/>
        </w:rPr>
        <w:t xml:space="preserve">. </w:t>
      </w:r>
      <w:r w:rsidRPr="00165CC4">
        <w:rPr>
          <w:noProof/>
          <w:szCs w:val="22"/>
          <w:lang w:val="en-IE" w:eastAsia="en-GB"/>
        </w:rPr>
        <w:t>In May 2026, the Procurator General at the Supreme Court referred to certain shortcomings by the Public Prosecution Service in its use of the possibility to decide on certain criminal cases without involving a judge (“penal orders/</w:t>
      </w:r>
      <w:r w:rsidRPr="00903B26">
        <w:rPr>
          <w:noProof/>
          <w:szCs w:val="22"/>
          <w:lang w:val="en-IE" w:eastAsia="en-GB"/>
        </w:rPr>
        <w:t>strafbeschikkingen</w:t>
      </w:r>
      <w:r w:rsidRPr="00165CC4">
        <w:rPr>
          <w:noProof/>
          <w:szCs w:val="22"/>
          <w:lang w:val="en-IE" w:eastAsia="en-GB"/>
        </w:rPr>
        <w:t>”) and made recommendations</w:t>
      </w:r>
      <w:r w:rsidRPr="00165CC4">
        <w:rPr>
          <w:noProof/>
          <w:szCs w:val="22"/>
          <w:vertAlign w:val="superscript"/>
          <w:lang w:val="en-IE" w:eastAsia="en-GB"/>
        </w:rPr>
        <w:footnoteReference w:id="45"/>
      </w:r>
      <w:r w:rsidRPr="00165CC4">
        <w:rPr>
          <w:noProof/>
          <w:szCs w:val="22"/>
          <w:lang w:val="en-IE" w:eastAsia="en-GB"/>
        </w:rPr>
        <w:t xml:space="preserve">. </w:t>
      </w:r>
      <w:r w:rsidRPr="00165CC4">
        <w:rPr>
          <w:rFonts w:eastAsiaTheme="minorHAnsi" w:cstheme="minorBidi"/>
          <w:noProof/>
          <w:szCs w:val="22"/>
          <w:lang w:val="en-IE" w:eastAsia="en-US"/>
        </w:rPr>
        <w:t>The Public Prosecution Service stated that it sees potential for a more extensive use of penal orders if it implements the recommendations of the Procurator General</w:t>
      </w:r>
      <w:r w:rsidRPr="00165CC4">
        <w:rPr>
          <w:rFonts w:eastAsiaTheme="minorHAnsi" w:cstheme="minorBidi"/>
          <w:noProof/>
          <w:szCs w:val="22"/>
          <w:vertAlign w:val="superscript"/>
          <w:lang w:val="en-IE" w:eastAsia="en-US"/>
        </w:rPr>
        <w:footnoteReference w:id="46"/>
      </w:r>
      <w:r w:rsidRPr="00165CC4">
        <w:rPr>
          <w:rFonts w:eastAsiaTheme="minorHAnsi" w:cstheme="minorBidi"/>
          <w:noProof/>
          <w:szCs w:val="22"/>
          <w:lang w:val="en-IE" w:eastAsia="en-US"/>
        </w:rPr>
        <w:t xml:space="preserve">. </w:t>
      </w:r>
      <w:r w:rsidRPr="00165CC4">
        <w:rPr>
          <w:noProof/>
          <w:szCs w:val="22"/>
          <w:lang w:val="en-IE" w:eastAsia="en-GB"/>
        </w:rPr>
        <w:t>A study from the Research and Data Centre of the Ministry of Justice and Security (WODC) reports positive experiences of both professionals and suspects with the use of penal orders</w:t>
      </w:r>
      <w:r w:rsidR="001B7F9E">
        <w:rPr>
          <w:noProof/>
          <w:szCs w:val="22"/>
          <w:lang w:val="en-IE" w:eastAsia="en-GB"/>
        </w:rPr>
        <w:t xml:space="preserve">. At the same time, the study notes that some </w:t>
      </w:r>
      <w:r w:rsidR="00C713BC">
        <w:rPr>
          <w:noProof/>
          <w:szCs w:val="22"/>
          <w:lang w:val="en-IE" w:eastAsia="en-GB"/>
        </w:rPr>
        <w:t xml:space="preserve">professionals are critical of </w:t>
      </w:r>
      <w:r w:rsidR="002C7308">
        <w:rPr>
          <w:noProof/>
          <w:szCs w:val="22"/>
          <w:lang w:val="en-IE" w:eastAsia="en-GB"/>
        </w:rPr>
        <w:t xml:space="preserve">a </w:t>
      </w:r>
      <w:r w:rsidR="00C713BC">
        <w:rPr>
          <w:noProof/>
          <w:szCs w:val="22"/>
          <w:lang w:val="en-IE" w:eastAsia="en-GB"/>
        </w:rPr>
        <w:t>more extensive application of this instrument</w:t>
      </w:r>
      <w:r w:rsidRPr="00165CC4" w:rsidDel="00975FF9">
        <w:rPr>
          <w:noProof/>
          <w:szCs w:val="22"/>
          <w:vertAlign w:val="superscript"/>
          <w:lang w:val="en-IE" w:eastAsia="en-GB"/>
        </w:rPr>
        <w:footnoteReference w:id="47"/>
      </w:r>
      <w:r w:rsidRPr="00165CC4">
        <w:rPr>
          <w:noProof/>
          <w:szCs w:val="22"/>
          <w:lang w:val="en-IE" w:eastAsia="en-GB"/>
        </w:rPr>
        <w:t>. The Public Prosecution Service is also carrying out an impact assessment</w:t>
      </w:r>
      <w:r w:rsidRPr="00165CC4">
        <w:rPr>
          <w:noProof/>
          <w:szCs w:val="22"/>
          <w:vertAlign w:val="superscript"/>
          <w:lang w:val="en-IE" w:eastAsia="en-GB"/>
        </w:rPr>
        <w:footnoteReference w:id="48"/>
      </w:r>
      <w:r w:rsidRPr="00165CC4">
        <w:rPr>
          <w:noProof/>
          <w:szCs w:val="22"/>
          <w:lang w:val="en-IE" w:eastAsia="en-GB"/>
        </w:rPr>
        <w:t>. Pending the results of that impact assessment, no new instructions to further intensify the use of penal orders have or will be given</w:t>
      </w:r>
      <w:r w:rsidRPr="00165CC4">
        <w:rPr>
          <w:noProof/>
          <w:szCs w:val="22"/>
          <w:vertAlign w:val="superscript"/>
          <w:lang w:val="en-IE" w:eastAsia="en-GB"/>
        </w:rPr>
        <w:footnoteReference w:id="49"/>
      </w:r>
      <w:r w:rsidRPr="00165CC4">
        <w:rPr>
          <w:noProof/>
          <w:szCs w:val="22"/>
          <w:lang w:val="en-IE" w:eastAsia="en-GB"/>
        </w:rPr>
        <w:t>.</w:t>
      </w:r>
    </w:p>
    <w:p w14:paraId="3F951B42" w14:textId="77777777" w:rsidR="001B6B6F" w:rsidRPr="00165CC4" w:rsidRDefault="001B6B6F" w:rsidP="00165CC4">
      <w:pPr>
        <w:contextualSpacing/>
        <w:rPr>
          <w:noProof/>
          <w:szCs w:val="22"/>
          <w:lang w:val="en-IE" w:eastAsia="en-GB"/>
        </w:rPr>
      </w:pPr>
    </w:p>
    <w:p w14:paraId="55B3FB9C" w14:textId="77777777" w:rsidR="00165CC4" w:rsidRPr="00165CC4" w:rsidRDefault="00165CC4" w:rsidP="00165CC4">
      <w:pPr>
        <w:keepNext/>
        <w:outlineLvl w:val="1"/>
        <w:rPr>
          <w:b/>
          <w:noProof/>
          <w:szCs w:val="24"/>
          <w:lang w:val="en-IE" w:eastAsia="en-GB"/>
        </w:rPr>
      </w:pPr>
      <w:r w:rsidRPr="00165CC4">
        <w:rPr>
          <w:b/>
          <w:noProof/>
          <w:szCs w:val="24"/>
          <w:lang w:val="en-IE" w:eastAsia="en-GB"/>
        </w:rPr>
        <w:t>Efficiency</w:t>
      </w:r>
    </w:p>
    <w:p w14:paraId="74C87C3D" w14:textId="77777777" w:rsidR="00165CC4" w:rsidRPr="00165CC4" w:rsidRDefault="00165CC4" w:rsidP="00165CC4">
      <w:pPr>
        <w:rPr>
          <w:rFonts w:eastAsiaTheme="minorHAnsi" w:cstheme="minorBidi"/>
          <w:bCs/>
          <w:noProof/>
          <w:szCs w:val="22"/>
          <w:lang w:val="en-IE" w:eastAsia="fr-FR"/>
        </w:rPr>
      </w:pPr>
      <w:r w:rsidRPr="00165CC4">
        <w:rPr>
          <w:b/>
          <w:noProof/>
          <w:szCs w:val="24"/>
          <w:lang w:val="en-IE" w:eastAsia="en-GB"/>
        </w:rPr>
        <w:t>The efficiency of the justice system continues to be high</w:t>
      </w:r>
      <w:r w:rsidRPr="00165CC4">
        <w:rPr>
          <w:b/>
          <w:bCs/>
          <w:noProof/>
          <w:szCs w:val="24"/>
          <w:lang w:val="en-IE" w:eastAsia="en-GB"/>
        </w:rPr>
        <w:t xml:space="preserve">. </w:t>
      </w:r>
      <w:r w:rsidRPr="00165CC4">
        <w:rPr>
          <w:rFonts w:eastAsiaTheme="minorHAnsi" w:cstheme="minorBidi"/>
          <w:bCs/>
          <w:noProof/>
          <w:szCs w:val="22"/>
          <w:lang w:val="en-IE" w:eastAsia="fr-FR"/>
        </w:rPr>
        <w:t>The duration of proceedings in first instance civil, commercial, administrative, and other cases remains short</w:t>
      </w:r>
      <w:r w:rsidRPr="00165CC4">
        <w:rPr>
          <w:rFonts w:eastAsiaTheme="minorHAnsi" w:cstheme="minorBidi"/>
          <w:bCs/>
          <w:noProof/>
          <w:szCs w:val="22"/>
          <w:vertAlign w:val="superscript"/>
          <w:lang w:val="en-IE" w:eastAsia="fr-FR"/>
        </w:rPr>
        <w:footnoteReference w:id="50"/>
      </w:r>
      <w:r w:rsidRPr="00165CC4">
        <w:rPr>
          <w:rFonts w:eastAsiaTheme="minorHAnsi" w:cstheme="minorBidi"/>
          <w:bCs/>
          <w:noProof/>
          <w:szCs w:val="22"/>
          <w:lang w:val="en-IE" w:eastAsia="fr-FR"/>
        </w:rPr>
        <w:t>, and the clearance rate is effective</w:t>
      </w:r>
      <w:r w:rsidRPr="00165CC4">
        <w:rPr>
          <w:rFonts w:eastAsiaTheme="minorHAnsi" w:cstheme="minorBidi"/>
          <w:bCs/>
          <w:noProof/>
          <w:szCs w:val="22"/>
          <w:vertAlign w:val="superscript"/>
          <w:lang w:val="en-IE" w:eastAsia="fr-FR"/>
        </w:rPr>
        <w:footnoteReference w:id="51"/>
      </w:r>
      <w:r w:rsidRPr="00165CC4">
        <w:rPr>
          <w:rFonts w:eastAsiaTheme="minorHAnsi" w:cstheme="minorBidi"/>
          <w:bCs/>
          <w:noProof/>
          <w:szCs w:val="22"/>
          <w:lang w:val="en-IE" w:eastAsia="fr-FR"/>
        </w:rPr>
        <w:t>. The estimated time to resolve administrative cases at first instance courts decreased (246 days in 2024, compared to 267 in 2023)</w:t>
      </w:r>
      <w:r w:rsidRPr="00165CC4">
        <w:rPr>
          <w:rFonts w:eastAsiaTheme="minorHAnsi" w:cstheme="minorBidi"/>
          <w:bCs/>
          <w:noProof/>
          <w:szCs w:val="22"/>
          <w:vertAlign w:val="superscript"/>
          <w:lang w:val="en-IE" w:eastAsia="fr-FR"/>
        </w:rPr>
        <w:footnoteReference w:id="52"/>
      </w:r>
      <w:r w:rsidRPr="00165CC4">
        <w:rPr>
          <w:rFonts w:eastAsiaTheme="minorHAnsi" w:cstheme="minorBidi"/>
          <w:bCs/>
          <w:noProof/>
          <w:szCs w:val="22"/>
          <w:lang w:val="en-IE" w:eastAsia="fr-FR"/>
        </w:rPr>
        <w:t>. The estimated time to resolve civil and commercial cases at first instance courts stood at 124 days in 2024 (no data is available for 2023)</w:t>
      </w:r>
      <w:r w:rsidRPr="00165CC4">
        <w:rPr>
          <w:rFonts w:eastAsiaTheme="minorHAnsi" w:cstheme="minorBidi"/>
          <w:bCs/>
          <w:noProof/>
          <w:szCs w:val="22"/>
          <w:vertAlign w:val="superscript"/>
          <w:lang w:val="en-IE" w:eastAsia="fr-FR"/>
        </w:rPr>
        <w:footnoteReference w:id="53"/>
      </w:r>
      <w:r w:rsidRPr="00165CC4">
        <w:rPr>
          <w:rFonts w:eastAsiaTheme="minorHAnsi" w:cstheme="minorBidi"/>
          <w:bCs/>
          <w:noProof/>
          <w:szCs w:val="22"/>
          <w:lang w:val="en-IE" w:eastAsia="fr-FR"/>
        </w:rPr>
        <w:t xml:space="preserve">. </w:t>
      </w:r>
      <w:r w:rsidRPr="00165CC4">
        <w:rPr>
          <w:rFonts w:eastAsiaTheme="minorHAnsi" w:cstheme="minorBidi"/>
          <w:noProof/>
          <w:szCs w:val="22"/>
          <w:lang w:val="en-IE" w:eastAsia="fr-FR"/>
        </w:rPr>
        <w:t>The</w:t>
      </w:r>
      <w:r w:rsidRPr="00165CC4">
        <w:rPr>
          <w:rFonts w:eastAsiaTheme="minorHAnsi" w:cstheme="minorBidi"/>
          <w:bCs/>
          <w:noProof/>
          <w:szCs w:val="22"/>
          <w:lang w:val="en-IE" w:eastAsia="fr-FR"/>
        </w:rPr>
        <w:t xml:space="preserve"> rate of resolving civil, commercial, administrative and other cases at first instance</w:t>
      </w:r>
      <w:r w:rsidRPr="00165CC4">
        <w:rPr>
          <w:rFonts w:eastAsiaTheme="minorHAnsi" w:cstheme="minorBidi"/>
          <w:noProof/>
          <w:szCs w:val="22"/>
          <w:lang w:val="en-IE" w:eastAsia="fr-FR"/>
        </w:rPr>
        <w:t xml:space="preserve"> remained at</w:t>
      </w:r>
      <w:r w:rsidRPr="00165CC4">
        <w:rPr>
          <w:rFonts w:eastAsiaTheme="minorHAnsi" w:cstheme="minorBidi"/>
          <w:bCs/>
          <w:noProof/>
          <w:szCs w:val="22"/>
          <w:lang w:val="en-IE" w:eastAsia="fr-FR"/>
        </w:rPr>
        <w:t xml:space="preserve"> </w:t>
      </w:r>
      <w:r w:rsidRPr="00165CC4">
        <w:rPr>
          <w:rFonts w:eastAsiaTheme="minorHAnsi" w:cstheme="minorBidi"/>
          <w:noProof/>
          <w:szCs w:val="22"/>
          <w:lang w:val="en-IE" w:eastAsia="fr-FR"/>
        </w:rPr>
        <w:t>100 </w:t>
      </w:r>
      <w:r w:rsidRPr="00165CC4">
        <w:rPr>
          <w:rFonts w:eastAsiaTheme="minorHAnsi" w:cstheme="minorBidi"/>
          <w:bCs/>
          <w:noProof/>
          <w:szCs w:val="22"/>
          <w:lang w:val="en-IE" w:eastAsia="fr-FR"/>
        </w:rPr>
        <w:t xml:space="preserve">% in </w:t>
      </w:r>
      <w:r w:rsidRPr="00165CC4">
        <w:rPr>
          <w:rFonts w:eastAsiaTheme="minorHAnsi" w:cstheme="minorBidi"/>
          <w:noProof/>
          <w:szCs w:val="22"/>
          <w:lang w:val="en-IE" w:eastAsia="fr-FR"/>
        </w:rPr>
        <w:t>2024</w:t>
      </w:r>
      <w:r w:rsidRPr="00165CC4">
        <w:rPr>
          <w:rFonts w:eastAsiaTheme="minorHAnsi" w:cstheme="minorBidi"/>
          <w:bCs/>
          <w:noProof/>
          <w:szCs w:val="22"/>
          <w:vertAlign w:val="superscript"/>
          <w:lang w:val="en-IE" w:eastAsia="fr-FR"/>
        </w:rPr>
        <w:footnoteReference w:id="54"/>
      </w:r>
      <w:r w:rsidRPr="00165CC4">
        <w:rPr>
          <w:rFonts w:eastAsiaTheme="minorHAnsi" w:cstheme="minorBidi"/>
          <w:bCs/>
          <w:noProof/>
          <w:szCs w:val="22"/>
          <w:lang w:val="en-IE" w:eastAsia="fr-FR"/>
        </w:rPr>
        <w:t>. The rate of resolving administrative cases at first instance increased to 93 % in 2024</w:t>
      </w:r>
      <w:r w:rsidRPr="00165CC4">
        <w:rPr>
          <w:rFonts w:eastAsiaTheme="minorHAnsi" w:cstheme="minorBidi"/>
          <w:bCs/>
          <w:noProof/>
          <w:szCs w:val="22"/>
          <w:vertAlign w:val="superscript"/>
          <w:lang w:val="en-IE" w:eastAsia="fr-FR"/>
        </w:rPr>
        <w:footnoteReference w:id="55"/>
      </w:r>
      <w:r w:rsidRPr="00165CC4">
        <w:rPr>
          <w:rFonts w:eastAsiaTheme="minorHAnsi" w:cstheme="minorBidi"/>
          <w:bCs/>
          <w:noProof/>
          <w:szCs w:val="22"/>
          <w:lang w:val="en-IE" w:eastAsia="fr-FR"/>
        </w:rPr>
        <w:t>. The rate of resolving civil and commercial cases at first instance stood at 102 % in 2024 (no data is available for 2023)</w:t>
      </w:r>
      <w:r w:rsidRPr="00165CC4">
        <w:rPr>
          <w:rFonts w:eastAsiaTheme="minorHAnsi" w:cstheme="minorBidi"/>
          <w:bCs/>
          <w:noProof/>
          <w:szCs w:val="22"/>
          <w:vertAlign w:val="superscript"/>
          <w:lang w:val="en-IE" w:eastAsia="fr-FR"/>
        </w:rPr>
        <w:footnoteReference w:id="56"/>
      </w:r>
      <w:r w:rsidRPr="00165CC4">
        <w:rPr>
          <w:rFonts w:eastAsiaTheme="minorHAnsi" w:cstheme="minorBidi"/>
          <w:bCs/>
          <w:noProof/>
          <w:szCs w:val="22"/>
          <w:lang w:val="en-IE" w:eastAsia="fr-FR"/>
        </w:rPr>
        <w:t>. The Council for the Judiciary and the European Association of Judges indicated that the “timely justice” programme [“</w:t>
      </w:r>
      <w:r w:rsidRPr="00903B26">
        <w:rPr>
          <w:rFonts w:eastAsiaTheme="minorHAnsi" w:cstheme="minorBidi"/>
          <w:bCs/>
          <w:noProof/>
          <w:szCs w:val="22"/>
          <w:lang w:val="en-IE" w:eastAsia="fr-FR"/>
        </w:rPr>
        <w:t>tijdige rechtspraak</w:t>
      </w:r>
      <w:r w:rsidRPr="00165CC4">
        <w:rPr>
          <w:rFonts w:eastAsiaTheme="minorHAnsi" w:cstheme="minorBidi"/>
          <w:bCs/>
          <w:noProof/>
          <w:szCs w:val="22"/>
          <w:lang w:val="en-IE" w:eastAsia="fr-FR"/>
        </w:rPr>
        <w:t>”], aimed at ensuring that cases are dealt with in a timely manner, was only partially successful in improving processing times between 2020 and 2025</w:t>
      </w:r>
      <w:r w:rsidRPr="00165CC4">
        <w:rPr>
          <w:rFonts w:eastAsiaTheme="minorHAnsi" w:cstheme="minorBidi"/>
          <w:bCs/>
          <w:noProof/>
          <w:szCs w:val="22"/>
          <w:vertAlign w:val="superscript"/>
          <w:lang w:val="en-IE" w:eastAsia="fr-FR"/>
        </w:rPr>
        <w:footnoteReference w:id="57"/>
      </w:r>
      <w:r w:rsidRPr="00165CC4">
        <w:rPr>
          <w:rFonts w:eastAsiaTheme="minorHAnsi" w:cstheme="minorBidi"/>
          <w:bCs/>
          <w:noProof/>
          <w:szCs w:val="22"/>
          <w:lang w:val="en-IE" w:eastAsia="fr-FR"/>
        </w:rPr>
        <w:t xml:space="preserve">. </w:t>
      </w:r>
    </w:p>
    <w:p w14:paraId="4A5337EE" w14:textId="2F558538" w:rsidR="00165CC4" w:rsidRPr="001F33CC" w:rsidRDefault="00165CC4" w:rsidP="001F33CC">
      <w:pPr>
        <w:pStyle w:val="ListParagraph"/>
        <w:keepNext/>
        <w:numPr>
          <w:ilvl w:val="0"/>
          <w:numId w:val="47"/>
        </w:numPr>
        <w:outlineLvl w:val="0"/>
        <w:rPr>
          <w:b/>
          <w:smallCaps/>
          <w:noProof/>
          <w:szCs w:val="24"/>
          <w:u w:val="single"/>
          <w:lang w:val="en-IE" w:eastAsia="fr-FR"/>
        </w:rPr>
      </w:pPr>
      <w:r w:rsidRPr="001F33CC">
        <w:rPr>
          <w:b/>
          <w:smallCaps/>
          <w:noProof/>
          <w:szCs w:val="24"/>
          <w:u w:val="single"/>
          <w:lang w:val="en-IE" w:eastAsia="fr-FR"/>
        </w:rPr>
        <w:t>Anti-Corruption Framework</w:t>
      </w:r>
      <w:r w:rsidRPr="001F33CC" w:rsidDel="00D67844">
        <w:rPr>
          <w:b/>
          <w:smallCaps/>
          <w:noProof/>
          <w:szCs w:val="24"/>
          <w:u w:val="single"/>
          <w:lang w:val="en-IE" w:eastAsia="fr-FR"/>
        </w:rPr>
        <w:t xml:space="preserve"> </w:t>
      </w:r>
    </w:p>
    <w:p w14:paraId="75958464" w14:textId="7C719020" w:rsidR="00165CC4" w:rsidRPr="00165CC4" w:rsidRDefault="00165CC4" w:rsidP="00165CC4">
      <w:pPr>
        <w:rPr>
          <w:rFonts w:eastAsiaTheme="minorHAnsi" w:cstheme="minorBidi"/>
          <w:noProof/>
          <w:szCs w:val="22"/>
          <w:lang w:val="en-IE" w:eastAsia="en-GB"/>
        </w:rPr>
      </w:pPr>
      <w:r w:rsidRPr="00165CC4">
        <w:rPr>
          <w:rFonts w:eastAsia="Calibri" w:cstheme="minorBidi"/>
          <w:b/>
          <w:bCs/>
          <w:noProof/>
          <w:szCs w:val="22"/>
          <w:lang w:val="en-IE" w:eastAsia="en-US"/>
        </w:rPr>
        <w:t>The perception among experts, citizens and business executives is that the level of corruption in the public sector remains relatively low.</w:t>
      </w:r>
      <w:r w:rsidRPr="00165CC4">
        <w:rPr>
          <w:rFonts w:eastAsia="Calibri" w:cstheme="minorBidi"/>
          <w:noProof/>
          <w:szCs w:val="22"/>
          <w:lang w:val="en-IE" w:eastAsia="en-US"/>
        </w:rPr>
        <w:t xml:space="preserve"> In the 2025 Corruption Perceptions Index by Transparency International, the Netherlands scores 78/100 and ranks 4</w:t>
      </w:r>
      <w:r w:rsidRPr="00165CC4">
        <w:rPr>
          <w:rFonts w:eastAsia="Calibri" w:cstheme="minorBidi"/>
          <w:noProof/>
          <w:szCs w:val="22"/>
          <w:vertAlign w:val="superscript"/>
          <w:lang w:val="en-IE" w:eastAsia="en-US"/>
        </w:rPr>
        <w:t>th</w:t>
      </w:r>
      <w:r w:rsidRPr="00165CC4">
        <w:rPr>
          <w:rFonts w:eastAsia="Calibri" w:cstheme="minorBidi"/>
          <w:noProof/>
          <w:szCs w:val="22"/>
          <w:lang w:val="en-IE" w:eastAsia="en-US"/>
        </w:rPr>
        <w:t xml:space="preserve"> in the European Union and 8</w:t>
      </w:r>
      <w:r w:rsidRPr="00165CC4">
        <w:rPr>
          <w:rFonts w:eastAsia="Calibri" w:cstheme="minorBidi"/>
          <w:noProof/>
          <w:szCs w:val="22"/>
          <w:vertAlign w:val="superscript"/>
          <w:lang w:val="en-IE" w:eastAsia="en-US"/>
        </w:rPr>
        <w:t>th</w:t>
      </w:r>
      <w:r w:rsidRPr="00165CC4">
        <w:rPr>
          <w:rFonts w:eastAsia="Calibri" w:cstheme="minorBidi"/>
          <w:noProof/>
          <w:szCs w:val="22"/>
          <w:lang w:val="en-IE" w:eastAsia="en-US"/>
        </w:rPr>
        <w:t xml:space="preserve"> globally</w:t>
      </w:r>
      <w:r w:rsidRPr="00165CC4">
        <w:rPr>
          <w:rFonts w:eastAsia="Calibri" w:cstheme="minorBidi"/>
          <w:noProof/>
          <w:szCs w:val="22"/>
          <w:vertAlign w:val="superscript"/>
          <w:lang w:val="en-IE" w:eastAsia="en-US"/>
        </w:rPr>
        <w:footnoteReference w:id="58"/>
      </w:r>
      <w:r w:rsidRPr="00165CC4">
        <w:rPr>
          <w:rFonts w:eastAsia="Calibri" w:cstheme="minorBidi"/>
          <w:noProof/>
          <w:szCs w:val="22"/>
          <w:lang w:val="en-IE" w:eastAsia="en-US"/>
        </w:rPr>
        <w:t>. This perception has deteriorated</w:t>
      </w:r>
      <w:r w:rsidRPr="00165CC4">
        <w:rPr>
          <w:rFonts w:eastAsia="Calibri" w:cstheme="minorBidi"/>
          <w:noProof/>
          <w:szCs w:val="22"/>
          <w:vertAlign w:val="superscript"/>
          <w:lang w:val="en-IE" w:eastAsia="en-US"/>
        </w:rPr>
        <w:footnoteReference w:id="59"/>
      </w:r>
      <w:r w:rsidRPr="00165CC4">
        <w:rPr>
          <w:rFonts w:eastAsia="Calibri" w:cstheme="minorBidi"/>
          <w:noProof/>
          <w:szCs w:val="22"/>
          <w:lang w:val="en-IE" w:eastAsia="en-US"/>
        </w:rPr>
        <w:t xml:space="preserve"> over the past five years. </w:t>
      </w:r>
      <w:bookmarkStart w:id="5" w:name="_Hlk136533369"/>
      <w:r w:rsidRPr="00165CC4">
        <w:rPr>
          <w:rFonts w:eastAsiaTheme="minorHAnsi" w:cstheme="minorBidi"/>
          <w:noProof/>
          <w:szCs w:val="22"/>
          <w:lang w:val="en-IE" w:eastAsia="en-GB"/>
        </w:rPr>
        <w:t xml:space="preserve">The 2026 Special Eurobarometer on Corruption shows that 56 % of respondents consider corruption widespread in their country (EU average 71 %) and 9 % of respondents feel personally affected by corruption in their daily lives (EU average 30 %). As regards businesses, 46 % of companies consider that corruption is widespread (EU average 65 %) and 15 % consider that corruption is a problem when doing business (EU average 37 %). </w:t>
      </w:r>
      <w:bookmarkEnd w:id="5"/>
      <w:r w:rsidRPr="00165CC4">
        <w:rPr>
          <w:rFonts w:eastAsiaTheme="minorHAnsi" w:cstheme="minorBidi"/>
          <w:noProof/>
          <w:szCs w:val="22"/>
          <w:lang w:val="en-IE" w:eastAsia="en-GB"/>
        </w:rPr>
        <w:t>Furthermore, 47 % of respondents</w:t>
      </w:r>
      <w:r w:rsidRPr="00165CC4">
        <w:rPr>
          <w:rFonts w:eastAsiaTheme="minorHAnsi" w:cstheme="minorBidi"/>
          <w:b/>
          <w:bCs/>
          <w:noProof/>
          <w:szCs w:val="22"/>
          <w:lang w:val="en-IE" w:eastAsia="en-GB"/>
        </w:rPr>
        <w:t xml:space="preserve"> </w:t>
      </w:r>
      <w:r w:rsidRPr="00165CC4">
        <w:rPr>
          <w:rFonts w:eastAsiaTheme="minorHAnsi" w:cstheme="minorBidi"/>
          <w:noProof/>
          <w:szCs w:val="22"/>
          <w:lang w:val="en-IE" w:eastAsia="en-GB"/>
        </w:rPr>
        <w:t>find that there are enough successful prosecutions to deter people from corrupt practices (EU average 38 %), while 41 % of companies believe that people and businesses caught for bribing a senior official are appropriately punished (EU average 31 %)</w:t>
      </w:r>
      <w:r w:rsidRPr="00165CC4">
        <w:rPr>
          <w:rFonts w:eastAsiaTheme="minorHAnsi" w:cstheme="minorBidi"/>
          <w:noProof/>
          <w:szCs w:val="22"/>
          <w:vertAlign w:val="superscript"/>
          <w:lang w:val="en-IE" w:eastAsia="en-GB"/>
        </w:rPr>
        <w:footnoteReference w:id="60"/>
      </w:r>
      <w:r w:rsidRPr="00165CC4">
        <w:rPr>
          <w:rFonts w:eastAsiaTheme="minorHAnsi" w:cstheme="minorBidi"/>
          <w:noProof/>
          <w:szCs w:val="22"/>
          <w:lang w:val="en-IE" w:eastAsia="en-GB"/>
        </w:rPr>
        <w:t xml:space="preserve">. </w:t>
      </w:r>
    </w:p>
    <w:p w14:paraId="0404F5DB" w14:textId="77777777" w:rsidR="00165CC4" w:rsidRPr="00165CC4" w:rsidRDefault="00165CC4" w:rsidP="00165CC4">
      <w:pPr>
        <w:rPr>
          <w:rFonts w:eastAsiaTheme="minorHAnsi" w:cstheme="minorBidi"/>
          <w:noProof/>
          <w:szCs w:val="22"/>
          <w:lang w:val="en-IE" w:eastAsia="en-US"/>
        </w:rPr>
      </w:pPr>
      <w:bookmarkStart w:id="6" w:name="_Hlk194408016"/>
      <w:r w:rsidRPr="00165CC4">
        <w:rPr>
          <w:rFonts w:eastAsiaTheme="minorHAnsi" w:cstheme="minorBidi"/>
          <w:b/>
          <w:bCs/>
          <w:noProof/>
          <w:szCs w:val="22"/>
          <w:lang w:val="en-IE" w:eastAsia="en-US"/>
        </w:rPr>
        <w:t xml:space="preserve">The </w:t>
      </w:r>
      <w:bookmarkEnd w:id="6"/>
      <w:r w:rsidRPr="00165CC4">
        <w:rPr>
          <w:rFonts w:eastAsiaTheme="minorHAnsi" w:cstheme="minorBidi"/>
          <w:b/>
          <w:bCs/>
          <w:noProof/>
          <w:szCs w:val="22"/>
          <w:lang w:val="en-IE" w:eastAsia="en-US"/>
        </w:rPr>
        <w:t xml:space="preserve">first national anti-corruption policy is being implemented, with plans to further refine it in the near future. </w:t>
      </w:r>
      <w:r w:rsidRPr="00165CC4">
        <w:rPr>
          <w:rFonts w:eastAsiaTheme="minorHAnsi" w:cstheme="minorBidi"/>
          <w:noProof/>
          <w:szCs w:val="22"/>
          <w:lang w:val="en-IE" w:eastAsia="en-US"/>
        </w:rPr>
        <w:t>The first national anti-corruption policy, adopted in June 2025 and covering four pillars</w:t>
      </w:r>
      <w:r w:rsidRPr="00165CC4">
        <w:rPr>
          <w:rFonts w:eastAsiaTheme="minorHAnsi" w:cstheme="minorBidi"/>
          <w:noProof/>
          <w:szCs w:val="22"/>
          <w:vertAlign w:val="superscript"/>
          <w:lang w:val="en-IE" w:eastAsia="en-US"/>
        </w:rPr>
        <w:footnoteReference w:id="61"/>
      </w:r>
      <w:r w:rsidRPr="00165CC4">
        <w:rPr>
          <w:rFonts w:eastAsiaTheme="minorHAnsi" w:cstheme="minorBidi"/>
          <w:noProof/>
          <w:szCs w:val="22"/>
          <w:lang w:val="en-IE" w:eastAsia="en-US"/>
        </w:rPr>
        <w:t>, is now being implemented through a multi-stakeholder approach</w:t>
      </w:r>
      <w:r w:rsidRPr="00165CC4">
        <w:rPr>
          <w:rFonts w:eastAsiaTheme="minorHAnsi" w:cstheme="minorBidi"/>
          <w:noProof/>
          <w:szCs w:val="22"/>
          <w:vertAlign w:val="superscript"/>
          <w:lang w:val="en-IE" w:eastAsia="en-US"/>
        </w:rPr>
        <w:footnoteReference w:id="62"/>
      </w:r>
      <w:r w:rsidRPr="00165CC4">
        <w:rPr>
          <w:rFonts w:eastAsiaTheme="minorHAnsi" w:cstheme="minorBidi"/>
          <w:noProof/>
          <w:szCs w:val="22"/>
          <w:lang w:val="en-IE" w:eastAsia="en-US"/>
        </w:rPr>
        <w:t>. The policy is expected to be further refined following the publication of the National Risk Assessment on Corruption and a risk assessment on subversive organised crime in March 2026</w:t>
      </w:r>
      <w:r w:rsidRPr="00165CC4">
        <w:rPr>
          <w:rFonts w:eastAsiaTheme="minorHAnsi" w:cstheme="minorBidi"/>
          <w:noProof/>
          <w:szCs w:val="22"/>
          <w:vertAlign w:val="superscript"/>
          <w:lang w:val="en-IE" w:eastAsia="en-US"/>
        </w:rPr>
        <w:footnoteReference w:id="63"/>
      </w:r>
      <w:r w:rsidRPr="00165CC4">
        <w:rPr>
          <w:rFonts w:eastAsiaTheme="minorHAnsi" w:cstheme="minorBidi"/>
          <w:noProof/>
          <w:szCs w:val="22"/>
          <w:lang w:val="en-IE" w:eastAsia="en-US"/>
        </w:rPr>
        <w:t>. While civil society has welcomed the policy, it regrets that it is not a comprehensive anti-corruption strategy, spanning all government services, and that it does not contain measurable indicators</w:t>
      </w:r>
      <w:r w:rsidRPr="00165CC4">
        <w:rPr>
          <w:rFonts w:eastAsiaTheme="minorHAnsi" w:cstheme="minorBidi"/>
          <w:noProof/>
          <w:szCs w:val="22"/>
          <w:vertAlign w:val="superscript"/>
          <w:lang w:val="en-IE" w:eastAsia="en-US"/>
        </w:rPr>
        <w:footnoteReference w:id="64"/>
      </w:r>
      <w:r w:rsidRPr="00165CC4">
        <w:rPr>
          <w:rFonts w:eastAsiaTheme="minorHAnsi" w:cstheme="minorBidi"/>
          <w:noProof/>
          <w:szCs w:val="22"/>
          <w:lang w:val="en-IE" w:eastAsia="en-US"/>
        </w:rPr>
        <w:t>.</w:t>
      </w:r>
    </w:p>
    <w:p w14:paraId="4D587A0C" w14:textId="4EAAF985" w:rsidR="00165CC4" w:rsidRPr="00165CC4" w:rsidRDefault="00165CC4" w:rsidP="00165CC4">
      <w:pPr>
        <w:rPr>
          <w:rFonts w:eastAsia="Calibri" w:cstheme="minorBidi"/>
          <w:noProof/>
          <w:szCs w:val="22"/>
          <w:lang w:val="en-IE" w:eastAsia="en-US"/>
        </w:rPr>
      </w:pPr>
      <w:bookmarkStart w:id="7" w:name="_Hlk191476220"/>
      <w:bookmarkStart w:id="8" w:name="_Hlk225320267"/>
      <w:r w:rsidRPr="00165CC4">
        <w:rPr>
          <w:rFonts w:eastAsia="Calibri" w:cstheme="minorBidi"/>
          <w:b/>
          <w:bCs/>
          <w:noProof/>
          <w:szCs w:val="22"/>
          <w:lang w:val="en-IE" w:eastAsia="en-US"/>
        </w:rPr>
        <w:t>Changes to the criminal anti-corruption legislation and the criminal procedure for prosecuting Ministers and Members of Parliament are under discussion.</w:t>
      </w:r>
      <w:bookmarkEnd w:id="7"/>
      <w:bookmarkEnd w:id="8"/>
      <w:r w:rsidRPr="00165CC4">
        <w:rPr>
          <w:rFonts w:eastAsia="Calibri" w:cstheme="minorBidi"/>
          <w:b/>
          <w:bCs/>
          <w:noProof/>
          <w:szCs w:val="22"/>
          <w:lang w:val="en-IE" w:eastAsia="en-US"/>
        </w:rPr>
        <w:t xml:space="preserve"> </w:t>
      </w:r>
      <w:r w:rsidRPr="00165CC4">
        <w:rPr>
          <w:rFonts w:eastAsia="Calibri" w:cstheme="minorBidi"/>
          <w:noProof/>
          <w:szCs w:val="22"/>
          <w:lang w:val="en-IE" w:eastAsia="en-US"/>
        </w:rPr>
        <w:t>In 2025, a number of high-profile corruption cases gave rise to a debate on the criminalisation of trading in influence</w:t>
      </w:r>
      <w:r w:rsidRPr="00165CC4">
        <w:rPr>
          <w:rFonts w:eastAsia="Calibri" w:cstheme="minorBidi"/>
          <w:noProof/>
          <w:szCs w:val="22"/>
          <w:vertAlign w:val="superscript"/>
          <w:lang w:val="en-IE" w:eastAsia="en-US"/>
        </w:rPr>
        <w:footnoteReference w:id="65"/>
      </w:r>
      <w:r w:rsidRPr="00165CC4">
        <w:rPr>
          <w:rFonts w:eastAsia="Calibri" w:cstheme="minorBidi"/>
          <w:noProof/>
          <w:szCs w:val="22"/>
          <w:lang w:val="en-IE" w:eastAsia="en-US"/>
        </w:rPr>
        <w:t>. Civil society has continued to call for a broad criminalisation of the offence</w:t>
      </w:r>
      <w:r w:rsidRPr="00165CC4">
        <w:rPr>
          <w:rFonts w:eastAsia="Calibri" w:cstheme="minorBidi"/>
          <w:noProof/>
          <w:szCs w:val="22"/>
          <w:vertAlign w:val="superscript"/>
          <w:lang w:val="en-IE" w:eastAsia="en-US"/>
        </w:rPr>
        <w:footnoteReference w:id="66"/>
      </w:r>
      <w:r w:rsidRPr="00165CC4">
        <w:rPr>
          <w:rFonts w:eastAsia="Calibri" w:cstheme="minorBidi"/>
          <w:noProof/>
          <w:szCs w:val="22"/>
          <w:lang w:val="en-IE" w:eastAsia="en-US"/>
        </w:rPr>
        <w:t>. The Government is currently analysing this in the context of potential broader legislative changes required to transpose the EU Directive on combating corruption</w:t>
      </w:r>
      <w:r w:rsidRPr="00165CC4">
        <w:rPr>
          <w:rFonts w:eastAsia="Calibri" w:cstheme="minorBidi"/>
          <w:noProof/>
          <w:szCs w:val="22"/>
          <w:vertAlign w:val="superscript"/>
          <w:lang w:val="en-IE" w:eastAsia="en-US"/>
        </w:rPr>
        <w:footnoteReference w:id="67"/>
      </w:r>
      <w:r w:rsidRPr="00165CC4">
        <w:rPr>
          <w:rFonts w:eastAsia="Calibri" w:cstheme="minorBidi"/>
          <w:noProof/>
          <w:szCs w:val="22"/>
          <w:lang w:val="en-IE" w:eastAsia="en-US"/>
        </w:rPr>
        <w:t>. Draft legislation on the procedure for the prosecution and trial of Ministers and Members of Parliament</w:t>
      </w:r>
      <w:r w:rsidRPr="00165CC4">
        <w:rPr>
          <w:rFonts w:eastAsia="Calibri" w:cstheme="minorBidi"/>
          <w:noProof/>
          <w:szCs w:val="22"/>
          <w:vertAlign w:val="superscript"/>
          <w:lang w:val="en-IE" w:eastAsia="en-US"/>
        </w:rPr>
        <w:footnoteReference w:id="68"/>
      </w:r>
      <w:r w:rsidRPr="00165CC4">
        <w:rPr>
          <w:rFonts w:eastAsia="Calibri" w:cstheme="minorBidi"/>
          <w:noProof/>
          <w:szCs w:val="22"/>
          <w:lang w:val="en-IE" w:eastAsia="en-US"/>
        </w:rPr>
        <w:t>, which includes a constitutional change</w:t>
      </w:r>
      <w:r w:rsidRPr="00165CC4">
        <w:rPr>
          <w:rFonts w:eastAsia="Calibri" w:cstheme="minorBidi"/>
          <w:noProof/>
          <w:szCs w:val="22"/>
          <w:vertAlign w:val="superscript"/>
          <w:lang w:val="en-IE" w:eastAsia="en-US"/>
        </w:rPr>
        <w:footnoteReference w:id="69"/>
      </w:r>
      <w:r w:rsidRPr="00165CC4">
        <w:rPr>
          <w:rFonts w:eastAsia="Calibri" w:cstheme="minorBidi"/>
          <w:noProof/>
          <w:szCs w:val="22"/>
          <w:lang w:val="en-IE" w:eastAsia="en-US"/>
        </w:rPr>
        <w:t>, continues to be discussed in Parliament and will be amended on the basis of the advice provided on 22 December 2025 by the Council of State</w:t>
      </w:r>
      <w:r w:rsidRPr="00165CC4">
        <w:rPr>
          <w:rFonts w:eastAsia="Calibri" w:cstheme="minorBidi"/>
          <w:noProof/>
          <w:szCs w:val="22"/>
          <w:vertAlign w:val="superscript"/>
          <w:lang w:val="en-IE" w:eastAsia="en-US"/>
        </w:rPr>
        <w:footnoteReference w:id="70"/>
      </w:r>
      <w:r w:rsidRPr="00165CC4">
        <w:rPr>
          <w:rFonts w:eastAsia="Calibri" w:cstheme="minorBidi"/>
          <w:noProof/>
          <w:szCs w:val="22"/>
          <w:lang w:val="en-IE" w:eastAsia="en-US"/>
        </w:rPr>
        <w:t xml:space="preserve">. </w:t>
      </w:r>
    </w:p>
    <w:p w14:paraId="564EEDA2" w14:textId="681CBBE6" w:rsidR="00165CC4" w:rsidRPr="00165CC4" w:rsidRDefault="00165CC4" w:rsidP="00165CC4">
      <w:pPr>
        <w:rPr>
          <w:rFonts w:eastAsia="Calibri" w:cstheme="minorBidi"/>
          <w:noProof/>
          <w:szCs w:val="22"/>
          <w:lang w:val="en-IE" w:eastAsia="en-US"/>
        </w:rPr>
      </w:pPr>
      <w:r w:rsidRPr="00165CC4">
        <w:rPr>
          <w:rFonts w:eastAsia="Calibri" w:cstheme="minorBidi"/>
          <w:b/>
          <w:bCs/>
          <w:noProof/>
          <w:szCs w:val="22"/>
          <w:lang w:val="en-IE" w:eastAsia="en-US"/>
        </w:rPr>
        <w:t xml:space="preserve">The investigation and prosecution of corruption offences remains effective, including in high-level cases, and efforts continue to strengthen the effectiveness of enforcement in foreign bribery cases. </w:t>
      </w:r>
      <w:r w:rsidRPr="00165CC4">
        <w:rPr>
          <w:rFonts w:eastAsia="Calibri" w:cstheme="minorBidi"/>
          <w:noProof/>
          <w:szCs w:val="22"/>
          <w:lang w:val="en-IE" w:eastAsia="en-US"/>
        </w:rPr>
        <w:t xml:space="preserve">The investigation and prosecution of corruption offences continues to function properly, including in high-level cases, </w:t>
      </w:r>
      <w:r w:rsidR="00951C4D" w:rsidRPr="00992662">
        <w:rPr>
          <w:noProof/>
          <w:szCs w:val="24"/>
        </w:rPr>
        <w:t xml:space="preserve">although </w:t>
      </w:r>
      <w:r w:rsidR="000705DB">
        <w:rPr>
          <w:noProof/>
          <w:szCs w:val="24"/>
        </w:rPr>
        <w:t>investigators and prosecutors report that</w:t>
      </w:r>
      <w:r w:rsidR="00951C4D">
        <w:rPr>
          <w:noProof/>
          <w:szCs w:val="24"/>
        </w:rPr>
        <w:t xml:space="preserve"> </w:t>
      </w:r>
      <w:r w:rsidR="009703AD">
        <w:rPr>
          <w:noProof/>
          <w:szCs w:val="24"/>
        </w:rPr>
        <w:t>issues</w:t>
      </w:r>
      <w:r w:rsidR="00951C4D" w:rsidRPr="00AE52FC">
        <w:rPr>
          <w:noProof/>
          <w:szCs w:val="24"/>
        </w:rPr>
        <w:t xml:space="preserve"> such as legal privilege and mutual legal</w:t>
      </w:r>
      <w:r w:rsidR="00043075" w:rsidRPr="00AE52FC">
        <w:rPr>
          <w:noProof/>
          <w:szCs w:val="24"/>
        </w:rPr>
        <w:t xml:space="preserve"> assistance</w:t>
      </w:r>
      <w:r w:rsidR="00951C4D" w:rsidRPr="00AE52FC">
        <w:rPr>
          <w:noProof/>
          <w:szCs w:val="24"/>
        </w:rPr>
        <w:t xml:space="preserve"> </w:t>
      </w:r>
      <w:r w:rsidR="00043075" w:rsidRPr="00AE52FC">
        <w:rPr>
          <w:noProof/>
          <w:szCs w:val="24"/>
        </w:rPr>
        <w:t>can cause serious delays</w:t>
      </w:r>
      <w:r w:rsidR="00043075" w:rsidRPr="00AE52FC">
        <w:rPr>
          <w:rFonts w:eastAsia="Calibri"/>
          <w:noProof/>
          <w:szCs w:val="24"/>
        </w:rPr>
        <w:t xml:space="preserve"> </w:t>
      </w:r>
      <w:r w:rsidRPr="00165CC4">
        <w:rPr>
          <w:rFonts w:eastAsia="Calibri" w:cstheme="minorBidi"/>
          <w:noProof/>
          <w:szCs w:val="22"/>
          <w:vertAlign w:val="superscript"/>
          <w:lang w:val="en-IE" w:eastAsia="en-US"/>
        </w:rPr>
        <w:footnoteReference w:id="71"/>
      </w:r>
      <w:r w:rsidRPr="00165CC4">
        <w:rPr>
          <w:rFonts w:eastAsia="Calibri" w:cstheme="minorBidi"/>
          <w:noProof/>
          <w:szCs w:val="22"/>
          <w:lang w:val="en-IE" w:eastAsia="en-US"/>
        </w:rPr>
        <w:t xml:space="preserve">. The additional structural financing that was allocated to the </w:t>
      </w:r>
      <w:r w:rsidR="00812A28">
        <w:rPr>
          <w:rFonts w:eastAsia="Calibri" w:cstheme="minorBidi"/>
          <w:i/>
          <w:iCs/>
          <w:noProof/>
          <w:szCs w:val="22"/>
          <w:lang w:val="en-IE" w:eastAsia="en-US"/>
        </w:rPr>
        <w:t>Rijksrecherche</w:t>
      </w:r>
      <w:r w:rsidRPr="00165CC4">
        <w:rPr>
          <w:rFonts w:eastAsia="Calibri" w:cstheme="minorBidi"/>
          <w:noProof/>
          <w:szCs w:val="22"/>
          <w:lang w:val="en-IE" w:eastAsia="en-US"/>
        </w:rPr>
        <w:t xml:space="preserve"> and the Anti-Corruption Centre (ACC) of the Fiscal Intelligence and Investigation Service (FIOD) has helped both organisations expand their investigative capacities</w:t>
      </w:r>
      <w:r w:rsidRPr="00165CC4">
        <w:rPr>
          <w:rFonts w:eastAsia="Calibri" w:cstheme="minorBidi"/>
          <w:noProof/>
          <w:szCs w:val="22"/>
          <w:vertAlign w:val="superscript"/>
          <w:lang w:val="en-IE" w:eastAsia="en-US"/>
        </w:rPr>
        <w:footnoteReference w:id="72"/>
      </w:r>
      <w:r w:rsidRPr="00165CC4">
        <w:rPr>
          <w:rFonts w:eastAsia="Calibri" w:cstheme="minorBidi"/>
          <w:noProof/>
          <w:szCs w:val="22"/>
          <w:lang w:val="en-IE" w:eastAsia="en-US"/>
        </w:rPr>
        <w:t>. In 2025, 40 persons were indicted by the Public Prosecution Service on charges of corruption (25 in 2024)</w:t>
      </w:r>
      <w:r w:rsidRPr="00165CC4">
        <w:rPr>
          <w:rFonts w:eastAsia="Calibri" w:cstheme="minorBidi"/>
          <w:noProof/>
          <w:szCs w:val="22"/>
          <w:vertAlign w:val="superscript"/>
          <w:lang w:val="en-IE" w:eastAsia="en-US"/>
        </w:rPr>
        <w:footnoteReference w:id="73"/>
      </w:r>
      <w:r w:rsidRPr="00165CC4">
        <w:rPr>
          <w:rFonts w:eastAsia="Calibri" w:cstheme="minorBidi"/>
          <w:noProof/>
          <w:szCs w:val="22"/>
          <w:lang w:val="en-IE" w:eastAsia="en-US"/>
        </w:rPr>
        <w:t>. Additionally, in 2025, courts imposed final convictions in 15 cases in first instance and in 5 cases in second instance</w:t>
      </w:r>
      <w:r w:rsidRPr="00165CC4">
        <w:rPr>
          <w:rFonts w:eastAsia="Calibri" w:cstheme="minorBidi"/>
          <w:noProof/>
          <w:szCs w:val="22"/>
          <w:vertAlign w:val="superscript"/>
          <w:lang w:val="en-IE" w:eastAsia="en-US"/>
        </w:rPr>
        <w:footnoteReference w:id="74"/>
      </w:r>
      <w:r w:rsidRPr="00165CC4">
        <w:rPr>
          <w:rFonts w:eastAsia="Calibri" w:cstheme="minorBidi"/>
          <w:noProof/>
          <w:szCs w:val="22"/>
          <w:lang w:val="en-IE" w:eastAsia="en-US"/>
        </w:rPr>
        <w:t xml:space="preserve">. </w:t>
      </w:r>
      <w:r w:rsidRPr="00165CC4">
        <w:rPr>
          <w:rFonts w:eastAsia="Calibri" w:cs="Arial"/>
          <w:noProof/>
          <w:szCs w:val="22"/>
          <w:lang w:val="en-IE" w:eastAsia="en-US"/>
        </w:rPr>
        <w:t>None of the EPPO cases in 2025 involved corruption offences</w:t>
      </w:r>
      <w:r w:rsidRPr="00165CC4">
        <w:rPr>
          <w:rFonts w:eastAsia="Calibri" w:cs="Arial"/>
          <w:noProof/>
          <w:szCs w:val="22"/>
          <w:vertAlign w:val="superscript"/>
          <w:lang w:val="en-IE" w:eastAsia="en-US"/>
        </w:rPr>
        <w:footnoteReference w:id="75"/>
      </w:r>
      <w:r w:rsidRPr="00165CC4">
        <w:rPr>
          <w:rFonts w:eastAsia="Calibri" w:cs="Arial"/>
          <w:noProof/>
          <w:szCs w:val="22"/>
          <w:lang w:val="en-IE" w:eastAsia="en-US"/>
        </w:rPr>
        <w:t xml:space="preserve">. </w:t>
      </w:r>
      <w:r w:rsidRPr="00165CC4">
        <w:rPr>
          <w:rFonts w:eastAsia="Calibri" w:cstheme="minorBidi"/>
          <w:noProof/>
          <w:szCs w:val="22"/>
          <w:lang w:val="en-IE" w:eastAsia="en-US"/>
        </w:rPr>
        <w:t xml:space="preserve">The Public Prosecution Service signalled that the issue of professional legal privilege in the investigation of large datasets affects corruption cases, in </w:t>
      </w:r>
      <w:r w:rsidR="00702794">
        <w:rPr>
          <w:rFonts w:eastAsia="Calibri" w:cstheme="minorBidi"/>
          <w:noProof/>
          <w:szCs w:val="22"/>
          <w:lang w:val="en-IE" w:eastAsia="en-US"/>
        </w:rPr>
        <w:t>both domestic and</w:t>
      </w:r>
      <w:r w:rsidR="00702794" w:rsidRPr="00165CC4">
        <w:rPr>
          <w:rFonts w:eastAsia="Calibri" w:cstheme="minorBidi"/>
          <w:noProof/>
          <w:szCs w:val="22"/>
          <w:lang w:val="en-IE" w:eastAsia="en-US"/>
        </w:rPr>
        <w:t xml:space="preserve"> </w:t>
      </w:r>
      <w:r w:rsidRPr="00165CC4">
        <w:rPr>
          <w:rFonts w:eastAsia="Calibri" w:cstheme="minorBidi"/>
          <w:noProof/>
          <w:szCs w:val="22"/>
          <w:lang w:val="en-IE" w:eastAsia="en-US"/>
        </w:rPr>
        <w:t xml:space="preserve">foreign bribery cases. </w:t>
      </w:r>
      <w:r w:rsidRPr="00165CC4">
        <w:rPr>
          <w:rFonts w:eastAsiaTheme="minorHAnsi" w:cstheme="minorBidi"/>
          <w:noProof/>
          <w:szCs w:val="22"/>
          <w:lang w:val="en-IE" w:eastAsia="en-US"/>
        </w:rPr>
        <w:t>The Government aims to address delays in criminal proceedings due to legal privilege claims in the reform of the Dutch Code of Criminal Procedure. In May 2026, a public consultation was launched on draft legislation which incorporates recent case-law on the issue, and which aims to provide a clearer statutory framework for the handling, filtering and protection of privileged material in criminal investigations</w:t>
      </w:r>
      <w:r w:rsidRPr="00165CC4">
        <w:rPr>
          <w:rFonts w:eastAsia="Calibri" w:cstheme="minorBidi"/>
          <w:noProof/>
          <w:szCs w:val="22"/>
          <w:vertAlign w:val="superscript"/>
          <w:lang w:val="en-IE" w:eastAsia="en-US"/>
        </w:rPr>
        <w:footnoteReference w:id="76"/>
      </w:r>
      <w:r w:rsidRPr="00165CC4">
        <w:rPr>
          <w:rFonts w:eastAsia="Calibri" w:cstheme="minorBidi"/>
          <w:noProof/>
          <w:szCs w:val="22"/>
          <w:lang w:val="en-IE" w:eastAsia="en-US"/>
        </w:rPr>
        <w:t>.</w:t>
      </w:r>
      <w:r w:rsidRPr="00165CC4">
        <w:rPr>
          <w:rFonts w:eastAsiaTheme="minorHAnsi" w:cstheme="minorBidi"/>
          <w:noProof/>
          <w:szCs w:val="22"/>
          <w:lang w:val="en-IE" w:eastAsia="en-US"/>
        </w:rPr>
        <w:t xml:space="preserve"> </w:t>
      </w:r>
      <w:r w:rsidRPr="00165CC4">
        <w:rPr>
          <w:rFonts w:eastAsia="Calibri" w:cstheme="minorBidi"/>
          <w:noProof/>
          <w:szCs w:val="22"/>
          <w:lang w:val="en-IE" w:eastAsia="en-US"/>
        </w:rPr>
        <w:t>The Public Prosecution Service reports a number of recent convictions of multinational companies for foreign bribery</w:t>
      </w:r>
      <w:r w:rsidRPr="00165CC4">
        <w:rPr>
          <w:rFonts w:eastAsia="Calibri" w:cstheme="minorBidi"/>
          <w:noProof/>
          <w:szCs w:val="22"/>
          <w:vertAlign w:val="superscript"/>
          <w:lang w:val="en-IE" w:eastAsia="en-US"/>
        </w:rPr>
        <w:footnoteReference w:id="77"/>
      </w:r>
      <w:r w:rsidRPr="00165CC4">
        <w:rPr>
          <w:rFonts w:eastAsia="Calibri" w:cstheme="minorBidi"/>
          <w:noProof/>
          <w:szCs w:val="22"/>
          <w:lang w:val="en-IE" w:eastAsia="en-US"/>
        </w:rPr>
        <w:t xml:space="preserve"> and the ACC reports that it has now increased investigative capacity in this area to ensure more effective enforcement</w:t>
      </w:r>
      <w:r w:rsidRPr="00165CC4">
        <w:rPr>
          <w:rFonts w:eastAsia="Calibri" w:cstheme="minorBidi"/>
          <w:noProof/>
          <w:szCs w:val="22"/>
          <w:vertAlign w:val="superscript"/>
          <w:lang w:val="en-IE" w:eastAsia="en-US"/>
        </w:rPr>
        <w:footnoteReference w:id="78"/>
      </w:r>
      <w:r w:rsidRPr="00165CC4">
        <w:rPr>
          <w:rFonts w:eastAsia="Calibri" w:cstheme="minorBidi"/>
          <w:noProof/>
          <w:szCs w:val="22"/>
          <w:lang w:val="en-IE" w:eastAsia="en-US"/>
        </w:rPr>
        <w:t xml:space="preserve">. </w:t>
      </w:r>
    </w:p>
    <w:p w14:paraId="2CFF4070" w14:textId="32417846" w:rsidR="00165CC4" w:rsidRPr="00165CC4" w:rsidRDefault="00165CC4" w:rsidP="00165CC4">
      <w:pPr>
        <w:rPr>
          <w:rFonts w:eastAsia="Calibri" w:cstheme="minorBidi"/>
          <w:noProof/>
          <w:szCs w:val="22"/>
          <w:lang w:val="en-IE" w:eastAsia="en-US"/>
        </w:rPr>
      </w:pPr>
      <w:r w:rsidRPr="00165CC4">
        <w:rPr>
          <w:rFonts w:eastAsia="Calibri" w:cstheme="minorBidi"/>
          <w:b/>
          <w:bCs/>
          <w:noProof/>
          <w:szCs w:val="22"/>
          <w:lang w:val="en-IE" w:eastAsia="en-US"/>
        </w:rPr>
        <w:t xml:space="preserve">Efforts continue to address corruption linked to organised crime and infiltration of </w:t>
      </w:r>
      <w:r w:rsidRPr="009E2F68">
        <w:rPr>
          <w:rFonts w:eastAsia="Calibri" w:cstheme="minorBidi"/>
          <w:b/>
          <w:bCs/>
          <w:noProof/>
          <w:szCs w:val="22"/>
          <w:lang w:val="en-IE" w:eastAsia="en-US"/>
        </w:rPr>
        <w:t xml:space="preserve">organised crime in state institutions. </w:t>
      </w:r>
      <w:r w:rsidRPr="009E2F68">
        <w:rPr>
          <w:rFonts w:eastAsia="Calibri" w:cstheme="minorBidi"/>
          <w:noProof/>
          <w:szCs w:val="22"/>
          <w:lang w:val="en-IE" w:eastAsia="en-US"/>
        </w:rPr>
        <w:t>The increasing influence of corruption tied to organised crime</w:t>
      </w:r>
      <w:r w:rsidR="00D661B7">
        <w:rPr>
          <w:rFonts w:eastAsia="Calibri" w:cstheme="minorBidi"/>
          <w:noProof/>
          <w:szCs w:val="22"/>
          <w:lang w:val="en-IE" w:eastAsia="en-US"/>
        </w:rPr>
        <w:t xml:space="preserve"> </w:t>
      </w:r>
      <w:r w:rsidRPr="009E2F68">
        <w:rPr>
          <w:rFonts w:eastAsia="Calibri" w:cstheme="minorBidi"/>
          <w:noProof/>
          <w:szCs w:val="22"/>
          <w:lang w:val="en-IE" w:eastAsia="en-US"/>
        </w:rPr>
        <w:t>remains of concern</w:t>
      </w:r>
      <w:r w:rsidRPr="009E2F68">
        <w:rPr>
          <w:rFonts w:eastAsia="Calibri" w:cstheme="minorBidi"/>
          <w:noProof/>
          <w:szCs w:val="22"/>
          <w:vertAlign w:val="superscript"/>
          <w:lang w:val="en-IE" w:eastAsia="en-US"/>
        </w:rPr>
        <w:footnoteReference w:id="79"/>
      </w:r>
      <w:r w:rsidR="0039784C" w:rsidRPr="009E2F68">
        <w:rPr>
          <w:rFonts w:eastAsia="Calibri" w:cstheme="minorBidi"/>
          <w:noProof/>
          <w:szCs w:val="22"/>
          <w:lang w:val="en-IE" w:eastAsia="en-US"/>
        </w:rPr>
        <w:t>, with civil society organisations pointing to the risk of infiltration in state institutions</w:t>
      </w:r>
      <w:r w:rsidR="00686F21">
        <w:rPr>
          <w:rStyle w:val="FootnoteReference"/>
          <w:rFonts w:eastAsia="Calibri" w:cstheme="minorBidi"/>
          <w:noProof/>
          <w:szCs w:val="22"/>
          <w:lang w:val="en-IE" w:eastAsia="en-US"/>
        </w:rPr>
        <w:footnoteReference w:id="80"/>
      </w:r>
      <w:r w:rsidRPr="009E2F68">
        <w:rPr>
          <w:rFonts w:eastAsia="Calibri" w:cstheme="minorBidi"/>
          <w:noProof/>
          <w:szCs w:val="22"/>
          <w:lang w:val="en-IE" w:eastAsia="en-US"/>
        </w:rPr>
        <w:t xml:space="preserve">. Police monitoring of potential unauthorised access to official databases by </w:t>
      </w:r>
      <w:r w:rsidRPr="009E2F68">
        <w:rPr>
          <w:rFonts w:eastAsiaTheme="minorHAnsi" w:cstheme="minorBidi"/>
          <w:noProof/>
          <w:szCs w:val="22"/>
          <w:lang w:val="en-IE" w:eastAsia="en-GB"/>
        </w:rPr>
        <w:t>civil servants and police officials continues</w:t>
      </w:r>
      <w:r w:rsidRPr="009E2F68">
        <w:rPr>
          <w:rFonts w:eastAsia="Calibri" w:cstheme="minorBidi"/>
          <w:noProof/>
          <w:szCs w:val="22"/>
          <w:vertAlign w:val="superscript"/>
          <w:lang w:val="en-IE" w:eastAsia="en-US"/>
        </w:rPr>
        <w:footnoteReference w:id="81"/>
      </w:r>
      <w:r w:rsidRPr="009E2F68">
        <w:rPr>
          <w:rFonts w:eastAsia="Calibri" w:cstheme="minorBidi"/>
          <w:noProof/>
          <w:szCs w:val="22"/>
          <w:lang w:val="en-IE" w:eastAsia="en-US"/>
        </w:rPr>
        <w:t xml:space="preserve">. In 2025, the </w:t>
      </w:r>
      <w:r w:rsidR="00812A28" w:rsidRPr="009E2F68">
        <w:rPr>
          <w:rFonts w:eastAsia="Calibri" w:cstheme="minorBidi"/>
          <w:i/>
          <w:iCs/>
          <w:noProof/>
          <w:szCs w:val="22"/>
          <w:lang w:val="en-IE" w:eastAsia="en-US"/>
        </w:rPr>
        <w:t>Rijksrecherche</w:t>
      </w:r>
      <w:r w:rsidRPr="009E2F68">
        <w:rPr>
          <w:rFonts w:eastAsia="Calibri" w:cstheme="minorBidi"/>
          <w:noProof/>
          <w:szCs w:val="22"/>
          <w:lang w:val="en-IE" w:eastAsia="en-US"/>
        </w:rPr>
        <w:t xml:space="preserve"> investigated 20 cases </w:t>
      </w:r>
      <w:r w:rsidR="002F6A29" w:rsidRPr="009E2F68">
        <w:rPr>
          <w:rFonts w:eastAsia="Calibri" w:cstheme="minorBidi"/>
          <w:noProof/>
          <w:szCs w:val="22"/>
          <w:lang w:val="en-IE" w:eastAsia="en-US"/>
        </w:rPr>
        <w:t>focused</w:t>
      </w:r>
      <w:r w:rsidR="00251504">
        <w:rPr>
          <w:rFonts w:eastAsia="Calibri" w:cstheme="minorBidi"/>
          <w:noProof/>
          <w:szCs w:val="22"/>
          <w:lang w:val="en-IE" w:eastAsia="en-US"/>
        </w:rPr>
        <w:t xml:space="preserve"> on violation of professional secrecy by public officials </w:t>
      </w:r>
      <w:r w:rsidRPr="00165CC4">
        <w:rPr>
          <w:rFonts w:eastAsia="Calibri" w:cstheme="minorBidi"/>
          <w:noProof/>
          <w:szCs w:val="22"/>
          <w:lang w:val="en-IE" w:eastAsia="en-US"/>
        </w:rPr>
        <w:t xml:space="preserve">(15 in 2024) and 25 cases </w:t>
      </w:r>
      <w:r w:rsidR="006F7BBC">
        <w:rPr>
          <w:rFonts w:eastAsia="Calibri" w:cstheme="minorBidi"/>
          <w:noProof/>
          <w:szCs w:val="22"/>
          <w:lang w:val="en-IE" w:eastAsia="en-US"/>
        </w:rPr>
        <w:t>of bribery of public officials</w:t>
      </w:r>
      <w:r w:rsidRPr="00165CC4">
        <w:rPr>
          <w:rFonts w:eastAsia="Calibri" w:cstheme="minorBidi"/>
          <w:noProof/>
          <w:szCs w:val="22"/>
          <w:lang w:val="en-IE" w:eastAsia="en-US"/>
        </w:rPr>
        <w:t xml:space="preserve"> (20 in 2024)</w:t>
      </w:r>
      <w:r w:rsidRPr="00165CC4">
        <w:rPr>
          <w:rFonts w:eastAsia="Calibri" w:cstheme="minorBidi"/>
          <w:noProof/>
          <w:szCs w:val="22"/>
          <w:vertAlign w:val="superscript"/>
          <w:lang w:val="en-IE" w:eastAsia="en-US"/>
        </w:rPr>
        <w:footnoteReference w:id="82"/>
      </w:r>
      <w:r w:rsidRPr="00165CC4">
        <w:rPr>
          <w:rFonts w:eastAsia="Calibri" w:cstheme="minorBidi"/>
          <w:noProof/>
          <w:szCs w:val="22"/>
          <w:lang w:val="en-IE" w:eastAsia="en-US"/>
        </w:rPr>
        <w:t xml:space="preserve">. The </w:t>
      </w:r>
      <w:r w:rsidR="00812A28">
        <w:rPr>
          <w:rFonts w:eastAsia="Calibri" w:cstheme="minorBidi"/>
          <w:i/>
          <w:iCs/>
          <w:noProof/>
          <w:szCs w:val="22"/>
          <w:lang w:val="en-IE" w:eastAsia="en-US"/>
        </w:rPr>
        <w:t>Rijksrecherche</w:t>
      </w:r>
      <w:r w:rsidRPr="00165CC4">
        <w:rPr>
          <w:rFonts w:eastAsia="Calibri" w:cstheme="minorBidi"/>
          <w:noProof/>
          <w:szCs w:val="22"/>
          <w:lang w:val="en-IE" w:eastAsia="en-US"/>
        </w:rPr>
        <w:t xml:space="preserve"> and the Public Prosecution Service continue to present reports to the relevant authorities </w:t>
      </w:r>
      <w:r w:rsidR="004269AE" w:rsidRPr="004269AE">
        <w:rPr>
          <w:rFonts w:eastAsia="Calibri" w:cstheme="minorBidi"/>
          <w:noProof/>
          <w:szCs w:val="22"/>
          <w:lang w:val="en-IE" w:eastAsia="en-US"/>
        </w:rPr>
        <w:t>to flag identified vulnerabilities. These reports typically address the awareness of corruption risks, compliance with working procedures, screening of personnel and authorisation management and log monitoring</w:t>
      </w:r>
      <w:r w:rsidRPr="00165CC4">
        <w:rPr>
          <w:rFonts w:eastAsia="Calibri" w:cstheme="minorBidi"/>
          <w:noProof/>
          <w:szCs w:val="22"/>
          <w:vertAlign w:val="superscript"/>
          <w:lang w:val="en-IE" w:eastAsia="en-US"/>
        </w:rPr>
        <w:footnoteReference w:id="83"/>
      </w:r>
      <w:r w:rsidRPr="00165CC4">
        <w:rPr>
          <w:rFonts w:eastAsia="Calibri" w:cstheme="minorBidi"/>
          <w:noProof/>
          <w:szCs w:val="22"/>
          <w:lang w:val="en-IE" w:eastAsia="en-US"/>
        </w:rPr>
        <w:t xml:space="preserve">. </w:t>
      </w:r>
    </w:p>
    <w:p w14:paraId="5757C155" w14:textId="77777777" w:rsidR="00165CC4" w:rsidRPr="00165CC4" w:rsidRDefault="00165CC4" w:rsidP="00165CC4">
      <w:pPr>
        <w:rPr>
          <w:rFonts w:eastAsiaTheme="minorHAnsi" w:cstheme="minorBidi"/>
          <w:noProof/>
          <w:szCs w:val="22"/>
          <w:highlight w:val="yellow"/>
          <w:lang w:val="en-IE" w:eastAsia="en-US"/>
        </w:rPr>
      </w:pPr>
      <w:bookmarkStart w:id="9" w:name="_Hlk225329696"/>
      <w:bookmarkStart w:id="10" w:name="_Hlk225775112"/>
      <w:bookmarkStart w:id="11" w:name="_Hlk170464772"/>
      <w:r w:rsidRPr="00165CC4">
        <w:rPr>
          <w:rFonts w:eastAsia="Calibri" w:cstheme="minorBidi"/>
          <w:b/>
          <w:bCs/>
          <w:noProof/>
          <w:szCs w:val="22"/>
          <w:lang w:val="en-IE" w:eastAsia="en-US"/>
        </w:rPr>
        <w:t xml:space="preserve">The Code of Conduct for civil servants </w:t>
      </w:r>
      <w:bookmarkEnd w:id="9"/>
      <w:r w:rsidRPr="00165CC4">
        <w:rPr>
          <w:rFonts w:eastAsia="Calibri" w:cstheme="minorBidi"/>
          <w:b/>
          <w:bCs/>
          <w:noProof/>
          <w:szCs w:val="22"/>
          <w:lang w:val="en-IE" w:eastAsia="en-US"/>
        </w:rPr>
        <w:t>is being revised</w:t>
      </w:r>
      <w:bookmarkEnd w:id="10"/>
      <w:r w:rsidRPr="00165CC4">
        <w:rPr>
          <w:rFonts w:eastAsia="Calibri" w:cstheme="minorBidi"/>
          <w:b/>
          <w:bCs/>
          <w:noProof/>
          <w:szCs w:val="22"/>
          <w:lang w:val="en-IE" w:eastAsia="en-US"/>
        </w:rPr>
        <w:t xml:space="preserve">. </w:t>
      </w:r>
      <w:r w:rsidRPr="00165CC4">
        <w:rPr>
          <w:rFonts w:eastAsia="Calibri" w:cstheme="minorBidi"/>
          <w:noProof/>
          <w:szCs w:val="22"/>
          <w:lang w:val="en-IE" w:eastAsia="en-US"/>
        </w:rPr>
        <w:t>A revised Code of Conduct for civil servants is being discussed with social partners and is expected to enter into force in 2026</w:t>
      </w:r>
      <w:r w:rsidRPr="00165CC4">
        <w:rPr>
          <w:rFonts w:eastAsiaTheme="minorHAnsi" w:cstheme="minorBidi"/>
          <w:noProof/>
          <w:szCs w:val="22"/>
          <w:vertAlign w:val="superscript"/>
          <w:lang w:val="en-IE" w:eastAsia="en-US"/>
        </w:rPr>
        <w:footnoteReference w:id="84"/>
      </w:r>
      <w:r w:rsidRPr="00165CC4">
        <w:rPr>
          <w:rFonts w:eastAsiaTheme="minorHAnsi" w:cstheme="minorBidi"/>
          <w:noProof/>
          <w:szCs w:val="22"/>
          <w:lang w:val="en-IE" w:eastAsia="en-US"/>
        </w:rPr>
        <w:t>. Special counsellors on ethics and integrity issues will also be made available to political assistants of Ministers and a new Complaints Committee started operations</w:t>
      </w:r>
      <w:r w:rsidRPr="00165CC4">
        <w:rPr>
          <w:rFonts w:eastAsiaTheme="minorHAnsi" w:cstheme="minorBidi"/>
          <w:noProof/>
          <w:szCs w:val="22"/>
          <w:vertAlign w:val="superscript"/>
          <w:lang w:val="en-IE" w:eastAsia="en-US"/>
        </w:rPr>
        <w:footnoteReference w:id="85"/>
      </w:r>
      <w:r w:rsidRPr="00165CC4">
        <w:rPr>
          <w:rFonts w:eastAsiaTheme="minorHAnsi" w:cstheme="minorBidi"/>
          <w:noProof/>
          <w:szCs w:val="22"/>
          <w:lang w:val="en-IE" w:eastAsia="en-US"/>
        </w:rPr>
        <w:t>. In 2027, the Court of Audit will evaluate if the measures taken by the Government to improve the integrity of civil servants have addressed the concerns raised in its 2025 audit</w:t>
      </w:r>
      <w:r w:rsidRPr="00165CC4">
        <w:rPr>
          <w:rFonts w:eastAsiaTheme="minorHAnsi" w:cstheme="minorBidi"/>
          <w:noProof/>
          <w:szCs w:val="22"/>
          <w:vertAlign w:val="superscript"/>
          <w:lang w:val="en-IE" w:eastAsia="en-US"/>
        </w:rPr>
        <w:footnoteReference w:id="86"/>
      </w:r>
      <w:r w:rsidRPr="00165CC4">
        <w:rPr>
          <w:rFonts w:eastAsiaTheme="minorHAnsi" w:cstheme="minorBidi"/>
          <w:noProof/>
          <w:szCs w:val="22"/>
          <w:lang w:val="en-IE" w:eastAsia="en-US"/>
        </w:rPr>
        <w:t>. The Code of Conduct for Ministers and State Secretaries is also being updated</w:t>
      </w:r>
      <w:r w:rsidRPr="00165CC4">
        <w:rPr>
          <w:rFonts w:eastAsiaTheme="minorHAnsi" w:cstheme="minorBidi"/>
          <w:noProof/>
          <w:szCs w:val="22"/>
          <w:vertAlign w:val="superscript"/>
          <w:lang w:val="en-IE" w:eastAsia="en-US"/>
        </w:rPr>
        <w:footnoteReference w:id="87"/>
      </w:r>
      <w:r w:rsidRPr="00165CC4">
        <w:rPr>
          <w:rFonts w:eastAsiaTheme="minorHAnsi" w:cstheme="minorBidi"/>
          <w:noProof/>
          <w:szCs w:val="22"/>
          <w:lang w:val="en-IE" w:eastAsia="en-US"/>
        </w:rPr>
        <w:t xml:space="preserve"> to align with the new legislation on revolving doors, although other updates are not excluded</w:t>
      </w:r>
      <w:r w:rsidRPr="00165CC4">
        <w:rPr>
          <w:rFonts w:eastAsiaTheme="minorHAnsi" w:cstheme="minorBidi"/>
          <w:noProof/>
          <w:szCs w:val="22"/>
          <w:vertAlign w:val="superscript"/>
          <w:lang w:val="en-IE" w:eastAsia="en-US"/>
        </w:rPr>
        <w:footnoteReference w:id="88"/>
      </w:r>
      <w:r w:rsidRPr="00165CC4">
        <w:rPr>
          <w:rFonts w:eastAsiaTheme="minorHAnsi" w:cstheme="minorBidi"/>
          <w:noProof/>
          <w:szCs w:val="22"/>
          <w:lang w:val="en-IE" w:eastAsia="en-US"/>
        </w:rPr>
        <w:t xml:space="preserve">. The police continues to reflect on ways to improve its integrity policy, although it has not yet announced initiatives to improve the </w:t>
      </w:r>
      <w:r w:rsidRPr="00165CC4">
        <w:rPr>
          <w:rFonts w:eastAsia="Calibri" w:cstheme="minorBidi"/>
          <w:noProof/>
          <w:szCs w:val="22"/>
          <w:lang w:val="en-IE" w:eastAsia="en-US"/>
        </w:rPr>
        <w:t>registration of gifts within the police in line with a recommendation from GRECO</w:t>
      </w:r>
      <w:r w:rsidRPr="00165CC4">
        <w:rPr>
          <w:rFonts w:eastAsia="Calibri" w:cstheme="minorBidi"/>
          <w:noProof/>
          <w:szCs w:val="22"/>
          <w:vertAlign w:val="superscript"/>
          <w:lang w:val="en-IE" w:eastAsia="en-US"/>
        </w:rPr>
        <w:footnoteReference w:id="89"/>
      </w:r>
      <w:r w:rsidRPr="00165CC4">
        <w:rPr>
          <w:rFonts w:eastAsia="Calibri" w:cstheme="minorBidi"/>
          <w:noProof/>
          <w:szCs w:val="22"/>
          <w:lang w:val="en-IE" w:eastAsia="en-US"/>
        </w:rPr>
        <w:t>.</w:t>
      </w:r>
      <w:r w:rsidRPr="00165CC4">
        <w:rPr>
          <w:rFonts w:eastAsiaTheme="minorHAnsi" w:cstheme="minorBidi"/>
          <w:noProof/>
          <w:szCs w:val="22"/>
          <w:lang w:val="en-IE" w:eastAsia="en-US"/>
        </w:rPr>
        <w:t xml:space="preserve"> </w:t>
      </w:r>
    </w:p>
    <w:p w14:paraId="5CA0C001" w14:textId="77777777" w:rsidR="00165CC4" w:rsidRPr="00165CC4" w:rsidRDefault="00165CC4" w:rsidP="00165CC4">
      <w:pPr>
        <w:rPr>
          <w:rFonts w:eastAsia="Calibri" w:cstheme="minorBidi"/>
          <w:noProof/>
          <w:color w:val="000000"/>
          <w:szCs w:val="22"/>
          <w:lang w:val="en-IE" w:eastAsia="en-US"/>
        </w:rPr>
      </w:pPr>
      <w:bookmarkStart w:id="12" w:name="_Hlk191476386"/>
      <w:bookmarkStart w:id="13" w:name="_Hlk225327861"/>
      <w:bookmarkStart w:id="14" w:name="_Hlk191476846"/>
      <w:bookmarkEnd w:id="11"/>
      <w:r w:rsidRPr="00165CC4">
        <w:rPr>
          <w:rFonts w:eastAsia="Calibri" w:cstheme="minorBidi"/>
          <w:b/>
          <w:bCs/>
          <w:noProof/>
          <w:szCs w:val="22"/>
          <w:lang w:val="en-IE" w:eastAsia="en-US"/>
        </w:rPr>
        <w:t xml:space="preserve">Updated guidance on the asset and interest declaration regime of ministers and State secretaries </w:t>
      </w:r>
      <w:bookmarkEnd w:id="12"/>
      <w:bookmarkEnd w:id="13"/>
      <w:r w:rsidRPr="00165CC4">
        <w:rPr>
          <w:rFonts w:eastAsia="Calibri" w:cstheme="minorBidi"/>
          <w:b/>
          <w:bCs/>
          <w:noProof/>
          <w:szCs w:val="22"/>
          <w:lang w:val="en-IE" w:eastAsia="en-US"/>
        </w:rPr>
        <w:t>clarifies rules on interests and side activities, while maintaining the principle of self-responsibility.</w:t>
      </w:r>
      <w:r w:rsidRPr="00165CC4">
        <w:rPr>
          <w:rFonts w:eastAsia="Calibri" w:cstheme="minorBidi"/>
          <w:b/>
          <w:bCs/>
          <w:noProof/>
          <w:color w:val="000000" w:themeColor="text1"/>
          <w:szCs w:val="22"/>
          <w:lang w:val="en-IE" w:eastAsia="en-US"/>
        </w:rPr>
        <w:t xml:space="preserve"> </w:t>
      </w:r>
      <w:bookmarkEnd w:id="14"/>
      <w:r w:rsidRPr="00165CC4">
        <w:rPr>
          <w:rFonts w:eastAsia="Calibri" w:cstheme="minorBidi"/>
          <w:noProof/>
          <w:color w:val="000000" w:themeColor="text1"/>
          <w:szCs w:val="22"/>
          <w:lang w:val="en-IE" w:eastAsia="en-US"/>
        </w:rPr>
        <w:t>In September 2025, the previous Government issued updated guidance</w:t>
      </w:r>
      <w:r w:rsidRPr="00165CC4">
        <w:rPr>
          <w:rFonts w:eastAsia="Calibri" w:cstheme="minorBidi"/>
          <w:noProof/>
          <w:color w:val="000000" w:themeColor="text1"/>
          <w:szCs w:val="22"/>
          <w:vertAlign w:val="superscript"/>
          <w:lang w:val="en-IE" w:eastAsia="en-US"/>
        </w:rPr>
        <w:footnoteReference w:id="90"/>
      </w:r>
      <w:r w:rsidRPr="00165CC4">
        <w:rPr>
          <w:rFonts w:eastAsia="Calibri" w:cstheme="minorBidi"/>
          <w:noProof/>
          <w:color w:val="000000" w:themeColor="text1"/>
          <w:szCs w:val="22"/>
          <w:lang w:val="en-IE" w:eastAsia="en-US"/>
        </w:rPr>
        <w:t xml:space="preserve"> on the interpretation of the rules under the 2022 Code of Conduct, by which ministers must report any acceptance of financial interests to the House of Representatives</w:t>
      </w:r>
      <w:r w:rsidRPr="00165CC4">
        <w:rPr>
          <w:rFonts w:eastAsia="Calibri" w:cstheme="minorBidi"/>
          <w:noProof/>
          <w:color w:val="000000" w:themeColor="text1"/>
          <w:szCs w:val="22"/>
          <w:vertAlign w:val="superscript"/>
          <w:lang w:val="en-IE" w:eastAsia="en-US"/>
        </w:rPr>
        <w:footnoteReference w:id="91"/>
      </w:r>
      <w:r w:rsidRPr="00165CC4">
        <w:rPr>
          <w:rFonts w:eastAsia="Calibri" w:cstheme="minorBidi"/>
          <w:noProof/>
          <w:color w:val="000000" w:themeColor="text1"/>
          <w:szCs w:val="22"/>
          <w:lang w:val="en-IE" w:eastAsia="en-US"/>
        </w:rPr>
        <w:t>. This includes a clearer recommendation to halt side activities and step away from or limit commercial interests upon taking office. The lack of an oversight mechanism, as the system relies on self-responsibility and the principle of parliamentary trust</w:t>
      </w:r>
      <w:r w:rsidRPr="00165CC4">
        <w:rPr>
          <w:rFonts w:eastAsia="Calibri" w:cstheme="minorBidi"/>
          <w:noProof/>
          <w:color w:val="000000" w:themeColor="text1"/>
          <w:szCs w:val="22"/>
          <w:vertAlign w:val="superscript"/>
          <w:lang w:val="en-IE" w:eastAsia="en-US"/>
        </w:rPr>
        <w:footnoteReference w:id="92"/>
      </w:r>
      <w:r w:rsidRPr="00165CC4">
        <w:rPr>
          <w:rFonts w:eastAsia="Calibri" w:cstheme="minorBidi"/>
          <w:noProof/>
          <w:color w:val="000000" w:themeColor="text1"/>
          <w:szCs w:val="22"/>
          <w:lang w:val="en-IE" w:eastAsia="en-US"/>
        </w:rPr>
        <w:t>, has remained an issue of concern for stakeholders</w:t>
      </w:r>
      <w:r w:rsidRPr="00165CC4">
        <w:rPr>
          <w:rFonts w:eastAsia="Calibri" w:cstheme="minorBidi"/>
          <w:noProof/>
          <w:color w:val="000000" w:themeColor="text1"/>
          <w:szCs w:val="22"/>
          <w:vertAlign w:val="superscript"/>
          <w:lang w:val="en-IE" w:eastAsia="en-US"/>
        </w:rPr>
        <w:footnoteReference w:id="93"/>
      </w:r>
      <w:r w:rsidRPr="00165CC4">
        <w:rPr>
          <w:rFonts w:eastAsia="Calibri" w:cstheme="minorBidi"/>
          <w:noProof/>
          <w:color w:val="000000" w:themeColor="text1"/>
          <w:szCs w:val="22"/>
          <w:lang w:val="en-IE" w:eastAsia="en-US"/>
        </w:rPr>
        <w:t>. In line with the existing rules, a session to raise awareness on integrity issues with the Council of Ministers was organised in 2025</w:t>
      </w:r>
      <w:r w:rsidRPr="00165CC4">
        <w:rPr>
          <w:rFonts w:eastAsia="Calibri" w:cstheme="minorBidi"/>
          <w:noProof/>
          <w:color w:val="000000" w:themeColor="text1"/>
          <w:szCs w:val="22"/>
          <w:vertAlign w:val="superscript"/>
          <w:lang w:val="en-IE" w:eastAsia="en-US"/>
        </w:rPr>
        <w:footnoteReference w:id="94"/>
      </w:r>
      <w:r w:rsidRPr="00165CC4">
        <w:rPr>
          <w:rFonts w:eastAsia="Calibri" w:cstheme="minorBidi"/>
          <w:noProof/>
          <w:color w:val="000000" w:themeColor="text1"/>
          <w:szCs w:val="22"/>
          <w:lang w:val="en-IE" w:eastAsia="en-US"/>
        </w:rPr>
        <w:t xml:space="preserve">. </w:t>
      </w:r>
    </w:p>
    <w:p w14:paraId="1DF2D64F" w14:textId="7BA7362B" w:rsidR="00165CC4" w:rsidRPr="00165CC4" w:rsidRDefault="00165CC4" w:rsidP="00165CC4">
      <w:pPr>
        <w:rPr>
          <w:rFonts w:eastAsia="Calibri" w:cstheme="minorBidi"/>
          <w:noProof/>
          <w:szCs w:val="22"/>
          <w:lang w:val="en-IE" w:eastAsia="en-US"/>
        </w:rPr>
      </w:pPr>
      <w:bookmarkStart w:id="15" w:name="_Hlk191476822"/>
      <w:r w:rsidRPr="00165CC4">
        <w:rPr>
          <w:rFonts w:eastAsia="Calibri" w:cstheme="minorBidi"/>
          <w:b/>
          <w:noProof/>
          <w:szCs w:val="22"/>
          <w:lang w:val="en-IE" w:eastAsia="en-US"/>
        </w:rPr>
        <w:t xml:space="preserve">Scrutiny over the enforcement of the Parliament’s system of asset and interest declaration continues. </w:t>
      </w:r>
      <w:bookmarkEnd w:id="15"/>
      <w:r w:rsidRPr="00165CC4">
        <w:rPr>
          <w:rFonts w:eastAsia="Calibri" w:cstheme="minorBidi"/>
          <w:noProof/>
          <w:szCs w:val="22"/>
          <w:lang w:val="en-IE" w:eastAsia="en-US"/>
        </w:rPr>
        <w:t>Issues with the asset and interest declarations in both houses of Parliament and with the overall mandate of the College of Investigation of Integrity, which is attached to the Chamber of Representatives, remain</w:t>
      </w:r>
      <w:r w:rsidRPr="00165CC4">
        <w:rPr>
          <w:rFonts w:eastAsia="Calibri" w:cstheme="minorBidi"/>
          <w:noProof/>
          <w:szCs w:val="22"/>
          <w:vertAlign w:val="superscript"/>
          <w:lang w:val="en-IE" w:eastAsia="en-US"/>
        </w:rPr>
        <w:footnoteReference w:id="95"/>
      </w:r>
      <w:r w:rsidRPr="00165CC4">
        <w:rPr>
          <w:rFonts w:eastAsia="Calibri" w:cstheme="minorBidi"/>
          <w:noProof/>
          <w:szCs w:val="22"/>
          <w:lang w:val="en-IE" w:eastAsia="en-US"/>
        </w:rPr>
        <w:t>. The College of Investigation of Integrity continues to investigate Members of Parliament’s failures to declare assets and interests on the basis of individual complaints</w:t>
      </w:r>
      <w:r w:rsidRPr="00165CC4">
        <w:rPr>
          <w:rFonts w:eastAsiaTheme="minorHAnsi" w:cstheme="minorBidi"/>
          <w:noProof/>
          <w:szCs w:val="24"/>
          <w:vertAlign w:val="superscript"/>
          <w:lang w:val="en-IE" w:eastAsia="en-US"/>
        </w:rPr>
        <w:footnoteReference w:id="96"/>
      </w:r>
      <w:r w:rsidRPr="00165CC4">
        <w:rPr>
          <w:rFonts w:eastAsiaTheme="minorHAnsi" w:cstheme="minorBidi"/>
          <w:noProof/>
          <w:szCs w:val="24"/>
          <w:lang w:val="en-IE" w:eastAsia="en-US"/>
        </w:rPr>
        <w:t xml:space="preserve">. </w:t>
      </w:r>
      <w:r w:rsidRPr="00165CC4">
        <w:rPr>
          <w:rFonts w:eastAsia="Calibri" w:cstheme="minorBidi"/>
          <w:noProof/>
          <w:szCs w:val="22"/>
          <w:lang w:val="en-IE" w:eastAsia="en-US"/>
        </w:rPr>
        <w:t xml:space="preserve">It has criticised the limited scope of the 2024 Code of Conduct </w:t>
      </w:r>
      <w:r w:rsidRPr="00165CC4" w:rsidDel="00061559">
        <w:rPr>
          <w:rFonts w:eastAsia="Calibri" w:cstheme="minorBidi"/>
          <w:noProof/>
          <w:szCs w:val="22"/>
          <w:lang w:val="en-IE" w:eastAsia="en-US"/>
        </w:rPr>
        <w:t xml:space="preserve">for </w:t>
      </w:r>
      <w:r w:rsidRPr="00165CC4">
        <w:rPr>
          <w:rFonts w:eastAsia="Calibri" w:cstheme="minorBidi"/>
          <w:noProof/>
          <w:szCs w:val="22"/>
          <w:lang w:val="en-IE" w:eastAsia="en-US"/>
        </w:rPr>
        <w:t>Members of Parliament</w:t>
      </w:r>
      <w:r w:rsidRPr="00165CC4">
        <w:rPr>
          <w:rFonts w:eastAsia="Calibri" w:cstheme="minorBidi"/>
          <w:noProof/>
          <w:szCs w:val="22"/>
          <w:vertAlign w:val="superscript"/>
          <w:lang w:val="en-IE" w:eastAsia="en-US"/>
        </w:rPr>
        <w:footnoteReference w:id="97"/>
      </w:r>
      <w:r w:rsidRPr="00165CC4">
        <w:rPr>
          <w:rFonts w:eastAsia="Calibri" w:cstheme="minorBidi"/>
          <w:noProof/>
          <w:szCs w:val="22"/>
          <w:lang w:val="en-IE" w:eastAsia="en-US"/>
        </w:rPr>
        <w:t>. CSOs have reiterated that the oversight and enforcement mechanism is insufficient and non-deterrent. Stakeholders regret that there have been no improvements to the overall functioning of the system so far</w:t>
      </w:r>
      <w:r w:rsidRPr="00165CC4">
        <w:rPr>
          <w:rFonts w:eastAsia="Calibri" w:cstheme="minorBidi"/>
          <w:noProof/>
          <w:szCs w:val="22"/>
          <w:vertAlign w:val="superscript"/>
          <w:lang w:val="en-IE" w:eastAsia="en-US"/>
        </w:rPr>
        <w:footnoteReference w:id="98"/>
      </w:r>
      <w:r w:rsidRPr="00165CC4">
        <w:rPr>
          <w:rFonts w:eastAsia="Calibri" w:cstheme="minorBidi"/>
          <w:noProof/>
          <w:szCs w:val="22"/>
          <w:lang w:val="en-IE" w:eastAsia="en-US"/>
        </w:rPr>
        <w:t>. The Senate also lacks an adequate sanctioning mechanism</w:t>
      </w:r>
      <w:r w:rsidRPr="00165CC4">
        <w:rPr>
          <w:rFonts w:eastAsia="Calibri" w:cstheme="minorBidi"/>
          <w:noProof/>
          <w:szCs w:val="22"/>
          <w:vertAlign w:val="superscript"/>
          <w:lang w:val="en-IE" w:eastAsia="en-US"/>
        </w:rPr>
        <w:footnoteReference w:id="99"/>
      </w:r>
      <w:r w:rsidRPr="00165CC4">
        <w:rPr>
          <w:rFonts w:eastAsia="Calibri" w:cstheme="minorBidi"/>
          <w:noProof/>
          <w:szCs w:val="22"/>
          <w:lang w:val="en-IE" w:eastAsia="en-US"/>
        </w:rPr>
        <w:t>.</w:t>
      </w:r>
    </w:p>
    <w:p w14:paraId="0814566A" w14:textId="496CCF67" w:rsidR="00165CC4" w:rsidRPr="00A078D0" w:rsidRDefault="00165CC4" w:rsidP="00165CC4">
      <w:pPr>
        <w:rPr>
          <w:rFonts w:eastAsiaTheme="minorHAnsi" w:cstheme="minorBidi"/>
          <w:noProof/>
          <w:szCs w:val="22"/>
          <w:lang w:val="en-US" w:eastAsia="en-US"/>
        </w:rPr>
      </w:pPr>
      <w:r w:rsidRPr="00165CC4">
        <w:rPr>
          <w:rFonts w:eastAsia="Calibri" w:cstheme="minorBidi"/>
          <w:b/>
          <w:bCs/>
          <w:noProof/>
          <w:color w:val="000000"/>
          <w:szCs w:val="22"/>
          <w:lang w:val="en-IE" w:eastAsia="en-US"/>
        </w:rPr>
        <w:t>New legislation on revolving doors is being implemented</w:t>
      </w:r>
      <w:r w:rsidRPr="00165CC4">
        <w:rPr>
          <w:rFonts w:eastAsia="Calibri" w:cstheme="minorBidi"/>
          <w:noProof/>
          <w:szCs w:val="22"/>
          <w:lang w:val="en-IE" w:eastAsia="en-US"/>
        </w:rPr>
        <w:t>. New rules on post</w:t>
      </w:r>
      <w:r w:rsidRPr="00165CC4">
        <w:rPr>
          <w:rFonts w:eastAsia="Calibri" w:cstheme="minorBidi"/>
          <w:noProof/>
          <w:szCs w:val="22"/>
          <w:lang w:val="en-IE" w:eastAsia="en-US"/>
        </w:rPr>
        <w:noBreakHyphen/>
        <w:t xml:space="preserve">employment restrictions for Ministers and State Secretaries entered into force on 20 February 2026. </w:t>
      </w:r>
      <w:r w:rsidRPr="00165CC4">
        <w:rPr>
          <w:rFonts w:eastAsiaTheme="minorHAnsi" w:cstheme="minorBidi"/>
          <w:noProof/>
          <w:szCs w:val="22"/>
          <w:lang w:val="en-IE" w:eastAsia="en-US"/>
        </w:rPr>
        <w:t>All former Ministers and State Secretaries who wish to take up a new job or assignment within two years of their resignation are now required to request an opinion of the Advisory Committee on the Legal Position of Ministers and State Secretaries (ARPA). The legislative obligations also apply to the members of the most recent former governments, as long as their formal resignation took place within two years prior to the entry into force of the new rules</w:t>
      </w:r>
      <w:r w:rsidRPr="00165CC4">
        <w:rPr>
          <w:rFonts w:eastAsiaTheme="minorHAnsi" w:cstheme="minorBidi"/>
          <w:noProof/>
          <w:szCs w:val="22"/>
          <w:vertAlign w:val="superscript"/>
          <w:lang w:val="en-IE" w:eastAsia="en-US"/>
        </w:rPr>
        <w:footnoteReference w:id="100"/>
      </w:r>
      <w:r w:rsidRPr="00165CC4">
        <w:rPr>
          <w:rFonts w:eastAsiaTheme="minorHAnsi" w:cstheme="minorBidi"/>
          <w:noProof/>
          <w:szCs w:val="22"/>
          <w:lang w:val="en-IE" w:eastAsia="en-US"/>
        </w:rPr>
        <w:t xml:space="preserve">. The advice from ARPA will </w:t>
      </w:r>
      <w:r w:rsidR="00A75925">
        <w:rPr>
          <w:rFonts w:eastAsiaTheme="minorHAnsi" w:cstheme="minorBidi"/>
          <w:noProof/>
          <w:szCs w:val="22"/>
          <w:lang w:val="en-IE" w:eastAsia="en-US"/>
        </w:rPr>
        <w:t xml:space="preserve">only </w:t>
      </w:r>
      <w:r w:rsidRPr="00165CC4">
        <w:rPr>
          <w:rFonts w:eastAsiaTheme="minorHAnsi" w:cstheme="minorBidi"/>
          <w:noProof/>
          <w:szCs w:val="22"/>
          <w:lang w:val="en-IE" w:eastAsia="en-US"/>
        </w:rPr>
        <w:t>be made public</w:t>
      </w:r>
      <w:r w:rsidR="004E241F">
        <w:rPr>
          <w:rFonts w:eastAsiaTheme="minorHAnsi" w:cstheme="minorBidi"/>
          <w:noProof/>
          <w:szCs w:val="22"/>
          <w:lang w:val="en-IE" w:eastAsia="en-US"/>
        </w:rPr>
        <w:t xml:space="preserve"> </w:t>
      </w:r>
      <w:r w:rsidR="00E92AED">
        <w:rPr>
          <w:rFonts w:eastAsiaTheme="minorHAnsi" w:cstheme="minorBidi"/>
          <w:noProof/>
          <w:szCs w:val="22"/>
          <w:lang w:val="en-IE" w:eastAsia="en-US"/>
        </w:rPr>
        <w:t xml:space="preserve">if the </w:t>
      </w:r>
      <w:r w:rsidR="00D0236A">
        <w:rPr>
          <w:rFonts w:eastAsiaTheme="minorHAnsi" w:cstheme="minorBidi"/>
          <w:noProof/>
          <w:szCs w:val="22"/>
          <w:lang w:val="en-IE" w:eastAsia="en-US"/>
        </w:rPr>
        <w:t xml:space="preserve">former </w:t>
      </w:r>
      <w:r w:rsidR="00E92AED">
        <w:rPr>
          <w:rFonts w:eastAsiaTheme="minorHAnsi" w:cstheme="minorBidi"/>
          <w:noProof/>
          <w:szCs w:val="22"/>
          <w:lang w:val="en-IE" w:eastAsia="en-US"/>
        </w:rPr>
        <w:t>Minister o</w:t>
      </w:r>
      <w:r w:rsidR="00D24A60">
        <w:rPr>
          <w:rFonts w:eastAsiaTheme="minorHAnsi" w:cstheme="minorBidi"/>
          <w:noProof/>
          <w:szCs w:val="22"/>
          <w:lang w:val="en-IE" w:eastAsia="en-US"/>
        </w:rPr>
        <w:t>r</w:t>
      </w:r>
      <w:r w:rsidR="00E92AED">
        <w:rPr>
          <w:rFonts w:eastAsiaTheme="minorHAnsi" w:cstheme="minorBidi"/>
          <w:noProof/>
          <w:szCs w:val="22"/>
          <w:lang w:val="en-IE" w:eastAsia="en-US"/>
        </w:rPr>
        <w:t xml:space="preserve"> </w:t>
      </w:r>
      <w:r w:rsidR="00136F0A">
        <w:rPr>
          <w:rFonts w:eastAsiaTheme="minorHAnsi" w:cstheme="minorBidi"/>
          <w:noProof/>
          <w:szCs w:val="22"/>
          <w:lang w:val="en-IE" w:eastAsia="en-US"/>
        </w:rPr>
        <w:t xml:space="preserve">State </w:t>
      </w:r>
      <w:r w:rsidR="00E92AED">
        <w:rPr>
          <w:rFonts w:eastAsiaTheme="minorHAnsi" w:cstheme="minorBidi"/>
          <w:noProof/>
          <w:szCs w:val="22"/>
          <w:lang w:val="en-IE" w:eastAsia="en-US"/>
        </w:rPr>
        <w:t>Secretary accepts the job</w:t>
      </w:r>
      <w:r w:rsidR="009840FC">
        <w:rPr>
          <w:rFonts w:eastAsiaTheme="minorHAnsi" w:cstheme="minorBidi"/>
          <w:noProof/>
          <w:szCs w:val="22"/>
          <w:lang w:val="en-IE" w:eastAsia="en-US"/>
        </w:rPr>
        <w:t>.</w:t>
      </w:r>
      <w:r w:rsidR="007E5F12">
        <w:rPr>
          <w:rFonts w:eastAsiaTheme="minorHAnsi" w:cstheme="minorBidi"/>
          <w:noProof/>
          <w:szCs w:val="22"/>
          <w:lang w:val="en-IE" w:eastAsia="en-US"/>
        </w:rPr>
        <w:t xml:space="preserve"> </w:t>
      </w:r>
      <w:r w:rsidR="00FF1A42" w:rsidRPr="00FF1A42">
        <w:rPr>
          <w:rFonts w:eastAsiaTheme="minorHAnsi" w:cstheme="minorBidi"/>
          <w:noProof/>
          <w:szCs w:val="22"/>
          <w:lang w:val="en-US" w:eastAsia="en-US"/>
        </w:rPr>
        <w:t>Although there is no obligation for officials to follow the ARPA’s advice</w:t>
      </w:r>
      <w:r w:rsidR="00614D11" w:rsidRPr="00165CC4">
        <w:rPr>
          <w:rFonts w:eastAsiaTheme="minorHAnsi" w:cstheme="minorBidi"/>
          <w:noProof/>
          <w:szCs w:val="22"/>
          <w:vertAlign w:val="superscript"/>
          <w:lang w:val="en-IE" w:eastAsia="en-US"/>
        </w:rPr>
        <w:footnoteReference w:id="101"/>
      </w:r>
      <w:r w:rsidR="00FF1A42" w:rsidRPr="00FF1A42">
        <w:rPr>
          <w:rFonts w:eastAsiaTheme="minorHAnsi" w:cstheme="minorBidi"/>
          <w:noProof/>
          <w:szCs w:val="22"/>
          <w:lang w:val="en-US" w:eastAsia="en-US"/>
        </w:rPr>
        <w:t>, national authorities consider that making the advice public discourages officials to disregard it</w:t>
      </w:r>
      <w:r w:rsidR="009E2F68">
        <w:rPr>
          <w:rStyle w:val="FootnoteReference"/>
          <w:rFonts w:eastAsiaTheme="minorHAnsi" w:cstheme="minorBidi"/>
          <w:noProof/>
          <w:szCs w:val="22"/>
          <w:lang w:val="en-IE" w:eastAsia="en-US"/>
        </w:rPr>
        <w:footnoteReference w:id="102"/>
      </w:r>
      <w:r w:rsidR="009E2F68" w:rsidRPr="71CAB66A">
        <w:rPr>
          <w:rFonts w:eastAsiaTheme="minorEastAsia" w:cstheme="minorBidi"/>
          <w:noProof/>
          <w:lang w:val="en-IE" w:eastAsia="en-US"/>
        </w:rPr>
        <w:t xml:space="preserve">. </w:t>
      </w:r>
      <w:r w:rsidRPr="00165CC4">
        <w:rPr>
          <w:rFonts w:eastAsiaTheme="minorHAnsi" w:cstheme="minorBidi"/>
          <w:noProof/>
          <w:szCs w:val="22"/>
          <w:lang w:val="en-IE" w:eastAsia="en-US"/>
        </w:rPr>
        <w:t>Civil society has welcomed the entry into force of these rules</w:t>
      </w:r>
      <w:r w:rsidRPr="00165CC4">
        <w:rPr>
          <w:rFonts w:eastAsiaTheme="minorHAnsi" w:cstheme="minorBidi"/>
          <w:noProof/>
          <w:szCs w:val="22"/>
          <w:vertAlign w:val="superscript"/>
          <w:lang w:val="en-IE" w:eastAsia="en-US"/>
        </w:rPr>
        <w:footnoteReference w:id="103"/>
      </w:r>
      <w:r w:rsidRPr="00165CC4">
        <w:rPr>
          <w:rFonts w:eastAsiaTheme="minorHAnsi" w:cstheme="minorBidi"/>
          <w:noProof/>
          <w:szCs w:val="22"/>
          <w:lang w:val="en-IE" w:eastAsia="en-US"/>
        </w:rPr>
        <w:t>.</w:t>
      </w:r>
    </w:p>
    <w:p w14:paraId="0F43DF73" w14:textId="77777777" w:rsidR="00165CC4" w:rsidRPr="00165CC4" w:rsidRDefault="00165CC4" w:rsidP="00165CC4">
      <w:pPr>
        <w:rPr>
          <w:rFonts w:eastAsia="Calibri" w:cstheme="minorBidi"/>
          <w:noProof/>
          <w:color w:val="000000"/>
          <w:szCs w:val="22"/>
          <w:lang w:val="en-IE" w:eastAsia="en-US"/>
        </w:rPr>
      </w:pPr>
      <w:bookmarkStart w:id="16" w:name="_Hlk229758895"/>
      <w:bookmarkStart w:id="17" w:name="_Hlk225262981"/>
      <w:bookmarkStart w:id="18" w:name="_Hlk191476944"/>
      <w:r w:rsidRPr="00165CC4">
        <w:rPr>
          <w:rFonts w:eastAsia="Calibri" w:cstheme="minorBidi"/>
          <w:b/>
          <w:bCs/>
          <w:noProof/>
          <w:color w:val="000000"/>
          <w:szCs w:val="22"/>
          <w:lang w:val="en-IE" w:eastAsia="en-US"/>
        </w:rPr>
        <w:t>Limited progress has been made on the recommendation on transparency of lobbying, as the Government intends to establish a transparency register</w:t>
      </w:r>
      <w:bookmarkEnd w:id="16"/>
      <w:r w:rsidRPr="00165CC4">
        <w:rPr>
          <w:rFonts w:eastAsia="Calibri" w:cstheme="minorBidi"/>
          <w:b/>
          <w:bCs/>
          <w:noProof/>
          <w:color w:val="000000"/>
          <w:szCs w:val="22"/>
          <w:vertAlign w:val="superscript"/>
          <w:lang w:val="en-IE" w:eastAsia="en-US"/>
        </w:rPr>
        <w:footnoteReference w:id="104"/>
      </w:r>
      <w:r w:rsidRPr="00165CC4">
        <w:rPr>
          <w:rFonts w:eastAsia="Calibri" w:cstheme="minorBidi"/>
          <w:b/>
          <w:bCs/>
          <w:noProof/>
          <w:color w:val="000000"/>
          <w:szCs w:val="22"/>
          <w:lang w:val="en-IE" w:eastAsia="en-US"/>
        </w:rPr>
        <w:t xml:space="preserve">. </w:t>
      </w:r>
      <w:bookmarkStart w:id="19" w:name="_Hlk225860672"/>
      <w:r w:rsidRPr="00165CC4">
        <w:rPr>
          <w:rFonts w:eastAsia="Calibri" w:cstheme="minorBidi"/>
          <w:noProof/>
          <w:color w:val="000000"/>
          <w:szCs w:val="22"/>
          <w:lang w:val="en-IE" w:eastAsia="en-US"/>
        </w:rPr>
        <w:t>The new Government’s coalition agreement includes an explicit commitment to introduce a transparency register</w:t>
      </w:r>
      <w:r w:rsidRPr="00165CC4">
        <w:rPr>
          <w:rFonts w:eastAsia="Calibri" w:cstheme="minorBidi"/>
          <w:noProof/>
          <w:color w:val="000000"/>
          <w:szCs w:val="22"/>
          <w:vertAlign w:val="superscript"/>
          <w:lang w:val="en-IE" w:eastAsia="en-US"/>
        </w:rPr>
        <w:footnoteReference w:id="105"/>
      </w:r>
      <w:r w:rsidRPr="00165CC4">
        <w:rPr>
          <w:rFonts w:eastAsia="Calibri" w:cstheme="minorBidi"/>
          <w:noProof/>
          <w:color w:val="000000"/>
          <w:szCs w:val="22"/>
          <w:lang w:val="en-IE" w:eastAsia="en-US"/>
        </w:rPr>
        <w:t xml:space="preserve">. </w:t>
      </w:r>
      <w:bookmarkEnd w:id="19"/>
      <w:r w:rsidRPr="00165CC4">
        <w:rPr>
          <w:rFonts w:eastAsia="Calibri" w:cstheme="minorBidi"/>
          <w:noProof/>
          <w:color w:val="000000"/>
          <w:szCs w:val="22"/>
          <w:lang w:val="en-IE" w:eastAsia="en-US"/>
        </w:rPr>
        <w:t>A legislative proposal to that effect is expected by autumn 2026, following broad consultations</w:t>
      </w:r>
      <w:r w:rsidRPr="00165CC4">
        <w:rPr>
          <w:rFonts w:eastAsia="Calibri" w:cstheme="minorBidi"/>
          <w:noProof/>
          <w:color w:val="000000"/>
          <w:szCs w:val="22"/>
          <w:vertAlign w:val="superscript"/>
          <w:lang w:val="en-IE" w:eastAsia="en-US"/>
        </w:rPr>
        <w:footnoteReference w:id="106"/>
      </w:r>
      <w:r w:rsidRPr="00165CC4">
        <w:rPr>
          <w:rFonts w:eastAsia="Calibri" w:cstheme="minorBidi"/>
          <w:noProof/>
          <w:color w:val="000000"/>
          <w:szCs w:val="22"/>
          <w:lang w:val="en-IE" w:eastAsia="en-US"/>
        </w:rPr>
        <w:t>. Civil society has welcomed this step, which is a long-standing recommendation to the Netherlands, but awaits further details</w:t>
      </w:r>
      <w:r w:rsidRPr="00165CC4">
        <w:rPr>
          <w:rFonts w:eastAsia="Calibri" w:cstheme="minorBidi"/>
          <w:noProof/>
          <w:color w:val="000000"/>
          <w:szCs w:val="22"/>
          <w:vertAlign w:val="superscript"/>
          <w:lang w:val="en-IE" w:eastAsia="en-US"/>
        </w:rPr>
        <w:footnoteReference w:id="107"/>
      </w:r>
      <w:r w:rsidRPr="00165CC4">
        <w:rPr>
          <w:rFonts w:eastAsia="Calibri" w:cstheme="minorBidi"/>
          <w:noProof/>
          <w:color w:val="000000"/>
          <w:szCs w:val="22"/>
          <w:lang w:val="en-IE" w:eastAsia="en-US"/>
        </w:rPr>
        <w:t xml:space="preserve">. </w:t>
      </w:r>
      <w:bookmarkEnd w:id="17"/>
      <w:bookmarkEnd w:id="18"/>
      <w:r w:rsidRPr="00165CC4">
        <w:rPr>
          <w:rFonts w:eastAsia="Calibri" w:cstheme="minorBidi"/>
          <w:noProof/>
          <w:color w:val="000000" w:themeColor="text1"/>
          <w:szCs w:val="22"/>
          <w:lang w:val="en-IE" w:eastAsia="en-US"/>
        </w:rPr>
        <w:t>Given the promising stated intention but the absence of concrete plans, there has been limited progress as regards transparency of lobbying.</w:t>
      </w:r>
    </w:p>
    <w:p w14:paraId="39E0086F" w14:textId="3F6E383C" w:rsidR="00165CC4" w:rsidRPr="00165CC4" w:rsidRDefault="00165CC4" w:rsidP="00165CC4">
      <w:pPr>
        <w:autoSpaceDE w:val="0"/>
        <w:autoSpaceDN w:val="0"/>
        <w:adjustRightInd w:val="0"/>
        <w:rPr>
          <w:rFonts w:eastAsia="Calibri" w:cstheme="minorBidi"/>
          <w:noProof/>
          <w:color w:val="000000"/>
          <w:szCs w:val="22"/>
          <w:lang w:val="en-IE" w:eastAsia="en-US"/>
        </w:rPr>
      </w:pPr>
      <w:r w:rsidRPr="00165CC4">
        <w:rPr>
          <w:rFonts w:eastAsia="Calibri" w:cstheme="minorBidi"/>
          <w:b/>
          <w:bCs/>
          <w:noProof/>
          <w:color w:val="000000"/>
          <w:szCs w:val="22"/>
          <w:lang w:val="en-IE" w:eastAsia="en-US"/>
        </w:rPr>
        <w:t>The Political Parties Act, regulating political party financing, remains under discussion in Parliament</w:t>
      </w:r>
      <w:r w:rsidRPr="00165CC4">
        <w:rPr>
          <w:rFonts w:eastAsia="Calibri" w:cstheme="minorBidi"/>
          <w:noProof/>
          <w:color w:val="000000"/>
          <w:szCs w:val="22"/>
          <w:vertAlign w:val="superscript"/>
          <w:lang w:val="en-IE" w:eastAsia="en-US"/>
        </w:rPr>
        <w:footnoteReference w:id="108"/>
      </w:r>
      <w:r w:rsidRPr="00165CC4">
        <w:rPr>
          <w:rFonts w:eastAsia="Calibri" w:cstheme="minorBidi"/>
          <w:noProof/>
          <w:color w:val="000000"/>
          <w:szCs w:val="22"/>
          <w:lang w:val="en-IE" w:eastAsia="en-US"/>
        </w:rPr>
        <w:t>. The draft Act enables the public financing of local political parties</w:t>
      </w:r>
      <w:r w:rsidRPr="00165CC4">
        <w:rPr>
          <w:rFonts w:eastAsia="Calibri" w:cstheme="minorBidi"/>
          <w:noProof/>
          <w:color w:val="000000"/>
          <w:szCs w:val="22"/>
          <w:vertAlign w:val="superscript"/>
          <w:lang w:val="en-IE" w:eastAsia="en-US"/>
        </w:rPr>
        <w:footnoteReference w:id="109"/>
      </w:r>
      <w:r w:rsidRPr="00165CC4">
        <w:rPr>
          <w:rFonts w:eastAsia="Calibri" w:cstheme="minorBidi"/>
          <w:noProof/>
          <w:color w:val="000000"/>
          <w:szCs w:val="22"/>
          <w:lang w:val="en-IE" w:eastAsia="en-US"/>
        </w:rPr>
        <w:t>. The draft law was amended in December 2025 in the House of Representatives and the Council of State issued its advice on these amendments in May 2026,</w:t>
      </w:r>
      <w:r w:rsidRPr="00165CC4">
        <w:rPr>
          <w:rFonts w:eastAsiaTheme="minorHAnsi" w:cstheme="minorBidi"/>
          <w:noProof/>
          <w:szCs w:val="22"/>
          <w:lang w:val="en-IE" w:eastAsia="en-US"/>
        </w:rPr>
        <w:t xml:space="preserve"> stressing the need for a balance between regulation and the freedom of political parties to organise themselves</w:t>
      </w:r>
      <w:r w:rsidRPr="00165CC4">
        <w:rPr>
          <w:rFonts w:eastAsia="Calibri" w:cstheme="minorBidi"/>
          <w:noProof/>
          <w:color w:val="000000"/>
          <w:szCs w:val="22"/>
          <w:vertAlign w:val="superscript"/>
          <w:lang w:val="en-IE" w:eastAsia="en-US"/>
        </w:rPr>
        <w:footnoteReference w:id="110"/>
      </w:r>
      <w:r w:rsidRPr="00165CC4">
        <w:rPr>
          <w:rFonts w:eastAsia="Calibri" w:cstheme="minorBidi"/>
          <w:noProof/>
          <w:color w:val="000000"/>
          <w:szCs w:val="22"/>
          <w:lang w:val="en-IE" w:eastAsia="en-US"/>
        </w:rPr>
        <w:t>. The parliamentary procedure is now expected to resume and to take the Council’s advice into account. Provisions on national party financing have largely stayed the same</w:t>
      </w:r>
      <w:r w:rsidRPr="00165CC4">
        <w:rPr>
          <w:rFonts w:eastAsia="Calibri" w:cstheme="minorBidi"/>
          <w:noProof/>
          <w:color w:val="000000"/>
          <w:szCs w:val="22"/>
          <w:vertAlign w:val="superscript"/>
          <w:lang w:val="en-IE" w:eastAsia="en-US"/>
        </w:rPr>
        <w:footnoteReference w:id="111"/>
      </w:r>
      <w:r w:rsidRPr="00165CC4">
        <w:rPr>
          <w:rFonts w:eastAsia="Calibri" w:cstheme="minorBidi"/>
          <w:noProof/>
          <w:color w:val="000000"/>
          <w:szCs w:val="22"/>
          <w:lang w:val="en-IE" w:eastAsia="en-US"/>
        </w:rPr>
        <w:t>. Civil society have raised concerns on the revised draft allowing foreign persons</w:t>
      </w:r>
      <w:r w:rsidRPr="00165CC4">
        <w:rPr>
          <w:rFonts w:eastAsia="Calibri" w:cstheme="minorBidi"/>
          <w:noProof/>
          <w:color w:val="000000"/>
          <w:szCs w:val="22"/>
          <w:vertAlign w:val="superscript"/>
          <w:lang w:val="en-IE" w:eastAsia="en-US"/>
        </w:rPr>
        <w:footnoteReference w:id="112"/>
      </w:r>
      <w:r w:rsidRPr="00165CC4">
        <w:rPr>
          <w:rFonts w:eastAsia="Calibri" w:cstheme="minorBidi"/>
          <w:noProof/>
          <w:color w:val="000000"/>
          <w:szCs w:val="22"/>
          <w:lang w:val="en-IE" w:eastAsia="en-US"/>
        </w:rPr>
        <w:t xml:space="preserve"> to donate up to EUR</w:t>
      </w:r>
      <w:r w:rsidR="006D49BB">
        <w:rPr>
          <w:rFonts w:eastAsia="Calibri" w:cstheme="minorBidi"/>
          <w:noProof/>
          <w:color w:val="000000"/>
          <w:szCs w:val="22"/>
          <w:lang w:val="en-IE" w:eastAsia="en-US"/>
        </w:rPr>
        <w:t> </w:t>
      </w:r>
      <w:r w:rsidRPr="00165CC4">
        <w:rPr>
          <w:rFonts w:eastAsia="Calibri" w:cstheme="minorBidi"/>
          <w:noProof/>
          <w:color w:val="000000"/>
          <w:szCs w:val="22"/>
          <w:lang w:val="en-IE" w:eastAsia="en-US"/>
        </w:rPr>
        <w:t>250 to political parties – compared to a full ban on such foreign donations in earlier drafts</w:t>
      </w:r>
      <w:r w:rsidRPr="00165CC4">
        <w:rPr>
          <w:rFonts w:eastAsia="Calibri" w:cstheme="minorBidi"/>
          <w:noProof/>
          <w:color w:val="000000"/>
          <w:szCs w:val="22"/>
          <w:vertAlign w:val="superscript"/>
          <w:lang w:val="en-IE" w:eastAsia="en-US"/>
        </w:rPr>
        <w:footnoteReference w:id="113"/>
      </w:r>
      <w:r w:rsidRPr="00165CC4">
        <w:rPr>
          <w:rFonts w:eastAsia="Calibri" w:cstheme="minorBidi"/>
          <w:noProof/>
          <w:color w:val="000000"/>
          <w:szCs w:val="22"/>
          <w:lang w:val="en-IE" w:eastAsia="en-US"/>
        </w:rPr>
        <w:t xml:space="preserve">. </w:t>
      </w:r>
    </w:p>
    <w:p w14:paraId="62B05301" w14:textId="77777777" w:rsidR="00165CC4" w:rsidRPr="00165CC4" w:rsidRDefault="00165CC4" w:rsidP="00165CC4">
      <w:pPr>
        <w:rPr>
          <w:rFonts w:eastAsia="Calibri" w:cstheme="minorBidi"/>
          <w:noProof/>
          <w:szCs w:val="22"/>
          <w:highlight w:val="yellow"/>
          <w:lang w:val="en-IE" w:eastAsia="en-US"/>
        </w:rPr>
      </w:pPr>
      <w:bookmarkStart w:id="20" w:name="_Hlk191478406"/>
      <w:bookmarkStart w:id="21" w:name="_Hlk225329422"/>
      <w:r w:rsidRPr="00165CC4">
        <w:rPr>
          <w:rFonts w:eastAsia="Calibri" w:cstheme="minorBidi"/>
          <w:b/>
          <w:noProof/>
          <w:szCs w:val="22"/>
          <w:lang w:val="en-IE" w:eastAsia="en-US"/>
        </w:rPr>
        <w:t>An evaluation of the whistleblower legislation</w:t>
      </w:r>
      <w:bookmarkEnd w:id="20"/>
      <w:r w:rsidRPr="00165CC4">
        <w:rPr>
          <w:rFonts w:eastAsia="Calibri" w:cstheme="minorBidi"/>
          <w:b/>
          <w:noProof/>
          <w:szCs w:val="22"/>
          <w:lang w:val="en-IE" w:eastAsia="en-US"/>
        </w:rPr>
        <w:t xml:space="preserve"> is planned for 2026</w:t>
      </w:r>
      <w:bookmarkEnd w:id="21"/>
      <w:r w:rsidRPr="00165CC4">
        <w:rPr>
          <w:rFonts w:eastAsia="Calibri" w:cstheme="minorBidi"/>
          <w:b/>
          <w:noProof/>
          <w:szCs w:val="22"/>
          <w:lang w:val="en-IE" w:eastAsia="en-US"/>
        </w:rPr>
        <w:t xml:space="preserve">. </w:t>
      </w:r>
      <w:r w:rsidRPr="00165CC4">
        <w:rPr>
          <w:rFonts w:eastAsia="Calibri" w:cstheme="minorBidi"/>
          <w:noProof/>
          <w:szCs w:val="22"/>
          <w:lang w:val="en-IE" w:eastAsia="en-US"/>
        </w:rPr>
        <w:t>Possible amendments to the whistleblower legislation</w:t>
      </w:r>
      <w:r w:rsidRPr="00165CC4">
        <w:rPr>
          <w:rFonts w:eastAsia="Calibri" w:cstheme="minorBidi"/>
          <w:noProof/>
          <w:szCs w:val="22"/>
          <w:vertAlign w:val="superscript"/>
          <w:lang w:val="en-IE" w:eastAsia="en-US"/>
        </w:rPr>
        <w:footnoteReference w:id="114"/>
      </w:r>
      <w:r w:rsidRPr="00165CC4">
        <w:rPr>
          <w:rFonts w:eastAsia="Calibri" w:cstheme="minorBidi"/>
          <w:noProof/>
          <w:szCs w:val="22"/>
          <w:lang w:val="en-IE" w:eastAsia="en-US"/>
        </w:rPr>
        <w:t>, such as introducing anonymous reporting and supervisory and enforcement powers for the Whistleblower’s Authority, continue to be considered within the Government</w:t>
      </w:r>
      <w:r w:rsidRPr="00165CC4">
        <w:rPr>
          <w:rFonts w:eastAsia="Calibri" w:cstheme="minorBidi"/>
          <w:noProof/>
          <w:szCs w:val="22"/>
          <w:vertAlign w:val="superscript"/>
          <w:lang w:val="en-IE" w:eastAsia="en-US"/>
        </w:rPr>
        <w:footnoteReference w:id="115"/>
      </w:r>
      <w:r w:rsidRPr="00165CC4">
        <w:rPr>
          <w:rFonts w:eastAsia="Calibri" w:cstheme="minorBidi"/>
          <w:noProof/>
          <w:szCs w:val="22"/>
          <w:lang w:val="en-IE" w:eastAsia="en-US"/>
        </w:rPr>
        <w:t>. An evaluation of the legislation’s effectiveness and efficiency at national level is to be conducted in 2026</w:t>
      </w:r>
      <w:r w:rsidRPr="00165CC4">
        <w:rPr>
          <w:rFonts w:eastAsia="Calibri" w:cstheme="minorBidi"/>
          <w:noProof/>
          <w:szCs w:val="22"/>
          <w:vertAlign w:val="superscript"/>
          <w:lang w:val="en-IE" w:eastAsia="en-US"/>
        </w:rPr>
        <w:footnoteReference w:id="116"/>
      </w:r>
      <w:r w:rsidRPr="00165CC4">
        <w:rPr>
          <w:rFonts w:eastAsia="Calibri" w:cstheme="minorBidi"/>
          <w:noProof/>
          <w:szCs w:val="22"/>
          <w:lang w:val="en-IE" w:eastAsia="en-US"/>
        </w:rPr>
        <w:t>. The Whistleblower’s Authority and civil society underlined the complexity of the national legislation and the difficulty to meet the “public interest” criterion, which is required for protecting persons reporting on wrongdoings, other than violations of EU law, within the meaning of the whistleblower law</w:t>
      </w:r>
      <w:r w:rsidRPr="00165CC4">
        <w:rPr>
          <w:rFonts w:eastAsia="Calibri" w:cstheme="minorBidi"/>
          <w:noProof/>
          <w:szCs w:val="22"/>
          <w:vertAlign w:val="superscript"/>
          <w:lang w:val="en-IE" w:eastAsia="en-US"/>
        </w:rPr>
        <w:footnoteReference w:id="117"/>
      </w:r>
      <w:r w:rsidRPr="00165CC4">
        <w:rPr>
          <w:rFonts w:eastAsia="Calibri" w:cstheme="minorBidi"/>
          <w:noProof/>
          <w:szCs w:val="22"/>
          <w:lang w:val="en-IE" w:eastAsia="en-US"/>
        </w:rPr>
        <w:t>. There is no specific data on the number of reports that relate to corruption. The Whistleblower’s Authority signalled one specific case with a link to corruption</w:t>
      </w:r>
      <w:r w:rsidRPr="00165CC4">
        <w:rPr>
          <w:rFonts w:eastAsia="Calibri" w:cstheme="minorBidi"/>
          <w:noProof/>
          <w:szCs w:val="22"/>
          <w:vertAlign w:val="superscript"/>
          <w:lang w:val="en-IE" w:eastAsia="en-US"/>
        </w:rPr>
        <w:footnoteReference w:id="118"/>
      </w:r>
      <w:r w:rsidRPr="00165CC4">
        <w:rPr>
          <w:rFonts w:eastAsia="Calibri" w:cstheme="minorBidi"/>
          <w:noProof/>
          <w:szCs w:val="22"/>
          <w:lang w:val="en-IE" w:eastAsia="en-US"/>
        </w:rPr>
        <w:t xml:space="preserve">. </w:t>
      </w:r>
    </w:p>
    <w:p w14:paraId="216D2E8C" w14:textId="5196964C" w:rsidR="00165CC4" w:rsidRPr="00165CC4" w:rsidRDefault="00165CC4" w:rsidP="00165CC4">
      <w:pPr>
        <w:rPr>
          <w:rFonts w:eastAsiaTheme="minorEastAsia" w:cstheme="minorBidi"/>
          <w:noProof/>
          <w:szCs w:val="22"/>
          <w:lang w:val="en-IE" w:eastAsia="en-US"/>
        </w:rPr>
      </w:pPr>
      <w:bookmarkStart w:id="22" w:name="_Hlk225329625"/>
      <w:bookmarkStart w:id="23" w:name="_Hlk191476989"/>
      <w:bookmarkStart w:id="24" w:name="_Hlk163654855"/>
      <w:r w:rsidRPr="00165CC4">
        <w:rPr>
          <w:rFonts w:eastAsiaTheme="minorEastAsia" w:cstheme="minorBidi"/>
          <w:b/>
          <w:noProof/>
          <w:szCs w:val="22"/>
          <w:lang w:val="en-IE" w:eastAsia="en-US"/>
        </w:rPr>
        <w:t>A national risk assessment on corruption and an assessment on corruption risks linked to subversive organised crime were published in March 2026</w:t>
      </w:r>
      <w:r w:rsidRPr="00165CC4">
        <w:rPr>
          <w:rFonts w:eastAsia="Calibri" w:cstheme="minorBidi"/>
          <w:b/>
          <w:noProof/>
          <w:szCs w:val="22"/>
          <w:lang w:val="en-IE" w:eastAsia="en-US"/>
        </w:rPr>
        <w:t xml:space="preserve">. </w:t>
      </w:r>
      <w:r w:rsidRPr="00165CC4">
        <w:rPr>
          <w:rFonts w:eastAsia="Calibri" w:cstheme="minorBidi"/>
          <w:noProof/>
          <w:szCs w:val="22"/>
          <w:lang w:val="en-IE" w:eastAsia="en-US"/>
        </w:rPr>
        <w:t>The Flash Eurobarometer on Businesses’ attitudes towards corruption in the EU shows that 22 % of companies in the Netherlands (EU average 30 %) think that corruption has prevented them from winning a public tender or a public procurement contract in the last three years</w:t>
      </w:r>
      <w:r w:rsidRPr="00165CC4">
        <w:rPr>
          <w:rFonts w:eastAsia="Calibri" w:cstheme="minorBidi"/>
          <w:noProof/>
          <w:szCs w:val="22"/>
          <w:vertAlign w:val="superscript"/>
          <w:lang w:val="en-IE" w:eastAsia="en-US"/>
        </w:rPr>
        <w:footnoteReference w:id="119"/>
      </w:r>
      <w:r w:rsidRPr="00165CC4">
        <w:rPr>
          <w:rFonts w:eastAsia="Calibri" w:cstheme="minorBidi"/>
          <w:noProof/>
          <w:szCs w:val="22"/>
          <w:lang w:val="en-IE" w:eastAsia="en-US"/>
        </w:rPr>
        <w:t>. The Single Market and Competitiveness Scoreboard on access to public procurement in the Netherlands reports 23 % of single bids for 2025 (EU average 27 %)</w:t>
      </w:r>
      <w:r w:rsidRPr="00165CC4">
        <w:rPr>
          <w:rFonts w:eastAsia="Calibri" w:cstheme="minorBidi"/>
          <w:noProof/>
          <w:szCs w:val="22"/>
          <w:vertAlign w:val="superscript"/>
          <w:lang w:val="en-IE" w:eastAsia="en-US"/>
        </w:rPr>
        <w:footnoteReference w:id="120"/>
      </w:r>
      <w:r w:rsidRPr="00165CC4">
        <w:rPr>
          <w:rFonts w:eastAsia="Calibri" w:cstheme="minorBidi"/>
          <w:noProof/>
          <w:szCs w:val="22"/>
          <w:lang w:val="en-IE" w:eastAsia="en-US"/>
        </w:rPr>
        <w:t xml:space="preserve">. </w:t>
      </w:r>
      <w:r w:rsidRPr="00165CC4">
        <w:rPr>
          <w:rFonts w:eastAsiaTheme="minorEastAsia" w:cstheme="minorBidi"/>
          <w:noProof/>
          <w:szCs w:val="22"/>
          <w:lang w:val="en-IE" w:eastAsia="en-US"/>
        </w:rPr>
        <w:t>56 % of businesses perceive the level of independence of the public procurement review bodies (district courts) as very or fairly good, which has significantly decreased in comparison to 2025 (64</w:t>
      </w:r>
      <w:r w:rsidR="00624AD1">
        <w:rPr>
          <w:rFonts w:eastAsiaTheme="minorEastAsia" w:cstheme="minorBidi"/>
          <w:noProof/>
          <w:szCs w:val="22"/>
          <w:lang w:val="en-IE" w:eastAsia="en-US"/>
        </w:rPr>
        <w:t> </w:t>
      </w:r>
      <w:r w:rsidRPr="00165CC4">
        <w:rPr>
          <w:rFonts w:eastAsiaTheme="minorEastAsia" w:cstheme="minorBidi"/>
          <w:noProof/>
          <w:szCs w:val="22"/>
          <w:lang w:val="en-IE" w:eastAsia="en-US"/>
        </w:rPr>
        <w:t>%)</w:t>
      </w:r>
      <w:r w:rsidRPr="00165CC4">
        <w:rPr>
          <w:rFonts w:eastAsiaTheme="minorEastAsia" w:cstheme="minorBidi"/>
          <w:noProof/>
          <w:szCs w:val="22"/>
          <w:vertAlign w:val="superscript"/>
          <w:lang w:val="en-IE" w:eastAsia="en-US"/>
        </w:rPr>
        <w:footnoteReference w:id="121"/>
      </w:r>
      <w:r w:rsidRPr="00165CC4">
        <w:rPr>
          <w:rFonts w:eastAsiaTheme="minorEastAsia" w:cstheme="minorBidi"/>
          <w:noProof/>
          <w:szCs w:val="22"/>
          <w:lang w:val="en-IE" w:eastAsia="en-US"/>
        </w:rPr>
        <w:t xml:space="preserve">. </w:t>
      </w:r>
      <w:r w:rsidRPr="00F649B1">
        <w:rPr>
          <w:rFonts w:eastAsia="Calibri" w:cstheme="minorBidi"/>
          <w:noProof/>
          <w:szCs w:val="22"/>
          <w:lang w:val="en-IE" w:eastAsia="en-US"/>
        </w:rPr>
        <w:t>Public procurement is seen as one of the main areas at high risk of corruption in the country, as also signalled by the Court of Audit</w:t>
      </w:r>
      <w:r w:rsidRPr="00F649B1">
        <w:rPr>
          <w:rFonts w:eastAsia="Calibri" w:cstheme="minorBidi"/>
          <w:noProof/>
          <w:szCs w:val="22"/>
          <w:vertAlign w:val="superscript"/>
          <w:lang w:val="en-IE" w:eastAsia="en-US"/>
        </w:rPr>
        <w:footnoteReference w:id="122"/>
      </w:r>
      <w:r w:rsidRPr="00F649B1">
        <w:rPr>
          <w:rFonts w:eastAsia="Calibri" w:cstheme="minorBidi"/>
          <w:noProof/>
          <w:szCs w:val="22"/>
          <w:lang w:val="en-IE" w:eastAsia="en-US"/>
        </w:rPr>
        <w:t>.</w:t>
      </w:r>
      <w:r w:rsidRPr="00165CC4">
        <w:rPr>
          <w:rFonts w:eastAsia="Calibri" w:cstheme="minorBidi"/>
          <w:noProof/>
          <w:szCs w:val="22"/>
          <w:lang w:val="en-IE" w:eastAsia="en-US"/>
        </w:rPr>
        <w:t xml:space="preserve"> </w:t>
      </w:r>
      <w:r w:rsidRPr="00165CC4">
        <w:rPr>
          <w:rFonts w:eastAsiaTheme="minorEastAsia" w:cstheme="minorBidi"/>
          <w:noProof/>
          <w:szCs w:val="22"/>
          <w:lang w:val="en-IE" w:eastAsia="en-US"/>
        </w:rPr>
        <w:t xml:space="preserve">A national risk assessment on corruption, and a risk assesment on corruption risks linked to subversive organised crime, were published in March 2026. The former </w:t>
      </w:r>
      <w:r w:rsidR="00927CB6" w:rsidRPr="009B43AB">
        <w:rPr>
          <w:rFonts w:eastAsiaTheme="minorEastAsia" w:cstheme="minorBidi"/>
          <w:noProof/>
          <w:szCs w:val="22"/>
          <w:lang w:val="en-IE" w:eastAsia="en-US"/>
        </w:rPr>
        <w:t xml:space="preserve">analysed corruption risks and identified </w:t>
      </w:r>
      <w:r w:rsidR="00AC1872">
        <w:rPr>
          <w:rFonts w:eastAsiaTheme="minorEastAsia" w:cstheme="minorBidi"/>
          <w:noProof/>
          <w:szCs w:val="22"/>
          <w:lang w:val="en-IE" w:eastAsia="en-US"/>
        </w:rPr>
        <w:t>thirteen</w:t>
      </w:r>
      <w:r w:rsidR="00927CB6" w:rsidRPr="009B43AB">
        <w:rPr>
          <w:rFonts w:eastAsiaTheme="minorEastAsia" w:cstheme="minorBidi"/>
          <w:noProof/>
          <w:szCs w:val="22"/>
          <w:lang w:val="en-IE" w:eastAsia="en-US"/>
        </w:rPr>
        <w:t xml:space="preserve"> of them as the greatest threats</w:t>
      </w:r>
      <w:r w:rsidRPr="00165CC4">
        <w:rPr>
          <w:rFonts w:eastAsiaTheme="minorEastAsia" w:cstheme="minorBidi"/>
          <w:noProof/>
          <w:szCs w:val="22"/>
          <w:lang w:val="en-IE" w:eastAsia="en-US"/>
        </w:rPr>
        <w:t>, both in the public and private sector, including the size of the threat compared to its resilience, and points to the importance of integrity and prevention policies in each organisation</w:t>
      </w:r>
      <w:r w:rsidRPr="00165CC4">
        <w:rPr>
          <w:rFonts w:eastAsiaTheme="minorEastAsia" w:cstheme="minorBidi"/>
          <w:noProof/>
          <w:szCs w:val="22"/>
          <w:vertAlign w:val="superscript"/>
          <w:lang w:val="en-IE" w:eastAsia="en-US"/>
        </w:rPr>
        <w:footnoteReference w:id="123"/>
      </w:r>
      <w:r w:rsidRPr="00165CC4">
        <w:rPr>
          <w:rFonts w:eastAsiaTheme="minorEastAsia" w:cstheme="minorBidi"/>
          <w:noProof/>
          <w:szCs w:val="22"/>
          <w:lang w:val="en-IE" w:eastAsia="en-US"/>
        </w:rPr>
        <w:t>, while the latter points to the increasing professionalisation of organised crime utilising informal networks to influence civil servants</w:t>
      </w:r>
      <w:r w:rsidRPr="00165CC4">
        <w:rPr>
          <w:rFonts w:eastAsiaTheme="minorEastAsia" w:cstheme="minorBidi"/>
          <w:noProof/>
          <w:szCs w:val="22"/>
          <w:vertAlign w:val="superscript"/>
          <w:lang w:val="en-IE" w:eastAsia="en-US"/>
        </w:rPr>
        <w:footnoteReference w:id="124"/>
      </w:r>
      <w:r w:rsidRPr="00165CC4">
        <w:rPr>
          <w:rFonts w:eastAsiaTheme="minorEastAsia" w:cstheme="minorBidi"/>
          <w:noProof/>
          <w:szCs w:val="22"/>
          <w:lang w:val="en-IE" w:eastAsia="en-US"/>
        </w:rPr>
        <w:t>. The Government is analysing these indepedendent assessments with a view to feed them into its anti-corruption policy</w:t>
      </w:r>
      <w:r w:rsidRPr="00165CC4">
        <w:rPr>
          <w:rFonts w:eastAsiaTheme="minorEastAsia" w:cstheme="minorBidi"/>
          <w:noProof/>
          <w:szCs w:val="22"/>
          <w:vertAlign w:val="superscript"/>
          <w:lang w:val="en-IE" w:eastAsia="en-US"/>
        </w:rPr>
        <w:footnoteReference w:id="125"/>
      </w:r>
      <w:r w:rsidRPr="00165CC4">
        <w:rPr>
          <w:rFonts w:eastAsiaTheme="minorEastAsia" w:cstheme="minorBidi"/>
          <w:noProof/>
          <w:szCs w:val="22"/>
          <w:lang w:val="en-IE" w:eastAsia="en-US"/>
        </w:rPr>
        <w:t>. An audit flagged that most government departments lack an adequate corruption risk prevention policy</w:t>
      </w:r>
      <w:r w:rsidRPr="00165CC4">
        <w:rPr>
          <w:rFonts w:eastAsiaTheme="minorEastAsia" w:cstheme="minorBidi"/>
          <w:noProof/>
          <w:szCs w:val="22"/>
          <w:vertAlign w:val="superscript"/>
          <w:lang w:val="en-IE" w:eastAsia="en-US"/>
        </w:rPr>
        <w:footnoteReference w:id="126"/>
      </w:r>
      <w:r w:rsidRPr="00165CC4">
        <w:rPr>
          <w:rFonts w:eastAsiaTheme="minorEastAsia" w:cstheme="minorBidi"/>
          <w:noProof/>
          <w:szCs w:val="22"/>
          <w:lang w:val="en-IE" w:eastAsia="en-US"/>
        </w:rPr>
        <w:t>. The maritime and defence sectors have also been flagged by stakeholders as high risk areas</w:t>
      </w:r>
      <w:r w:rsidRPr="00165CC4">
        <w:rPr>
          <w:rFonts w:eastAsiaTheme="minorEastAsia" w:cstheme="minorBidi"/>
          <w:noProof/>
          <w:szCs w:val="22"/>
          <w:vertAlign w:val="superscript"/>
          <w:lang w:val="en-IE" w:eastAsia="en-US"/>
        </w:rPr>
        <w:footnoteReference w:id="127"/>
      </w:r>
      <w:r w:rsidRPr="00165CC4">
        <w:rPr>
          <w:rFonts w:eastAsiaTheme="minorEastAsia" w:cstheme="minorBidi"/>
          <w:noProof/>
          <w:szCs w:val="22"/>
          <w:lang w:val="en-IE" w:eastAsia="en-US"/>
        </w:rPr>
        <w:t xml:space="preserve">. </w:t>
      </w:r>
    </w:p>
    <w:bookmarkEnd w:id="22"/>
    <w:bookmarkEnd w:id="23"/>
    <w:bookmarkEnd w:id="24"/>
    <w:p w14:paraId="749F7AE3" w14:textId="77777777" w:rsidR="00165CC4" w:rsidRPr="001B6B6F" w:rsidRDefault="00165CC4" w:rsidP="001F33CC">
      <w:pPr>
        <w:pStyle w:val="ListParagraph"/>
        <w:keepNext/>
        <w:numPr>
          <w:ilvl w:val="0"/>
          <w:numId w:val="47"/>
        </w:numPr>
        <w:outlineLvl w:val="0"/>
        <w:rPr>
          <w:b/>
          <w:smallCaps/>
          <w:noProof/>
          <w:szCs w:val="24"/>
          <w:u w:val="single"/>
          <w:lang w:val="en-IE" w:eastAsia="fr-FR"/>
        </w:rPr>
      </w:pPr>
      <w:r w:rsidRPr="001B6B6F">
        <w:rPr>
          <w:b/>
          <w:smallCaps/>
          <w:noProof/>
          <w:szCs w:val="24"/>
          <w:u w:val="single"/>
          <w:lang w:val="en-IE" w:eastAsia="fr-FR"/>
        </w:rPr>
        <w:t xml:space="preserve">Media Pluralism and Media Freedom </w:t>
      </w:r>
    </w:p>
    <w:p w14:paraId="253A41FD" w14:textId="0CA907BB" w:rsidR="00165CC4" w:rsidRPr="00165CC4" w:rsidRDefault="00165CC4" w:rsidP="00165CC4">
      <w:pPr>
        <w:rPr>
          <w:rFonts w:eastAsiaTheme="minorHAnsi" w:cstheme="minorBidi"/>
          <w:noProof/>
          <w:szCs w:val="22"/>
          <w:lang w:val="en-IE" w:eastAsia="en-US"/>
        </w:rPr>
      </w:pPr>
      <w:r w:rsidRPr="00165CC4">
        <w:rPr>
          <w:rFonts w:eastAsiaTheme="minorHAnsi" w:cstheme="minorBidi"/>
          <w:b/>
          <w:noProof/>
          <w:szCs w:val="22"/>
          <w:lang w:val="en-IE" w:eastAsia="en-US"/>
        </w:rPr>
        <w:t>The media regulator continues to operate efficiently and independently.</w:t>
      </w:r>
      <w:r w:rsidRPr="00165CC4">
        <w:rPr>
          <w:rFonts w:eastAsiaTheme="minorHAnsi" w:cstheme="minorBidi"/>
          <w:noProof/>
          <w:szCs w:val="22"/>
          <w:lang w:val="en-IE" w:eastAsia="en-US"/>
        </w:rPr>
        <w:t xml:space="preserve"> The Dutch media regulator, the </w:t>
      </w:r>
      <w:r w:rsidRPr="00903B26">
        <w:rPr>
          <w:rFonts w:eastAsiaTheme="minorHAnsi" w:cstheme="minorBidi"/>
          <w:i/>
          <w:noProof/>
          <w:szCs w:val="22"/>
          <w:lang w:val="en-IE" w:eastAsia="en-US"/>
        </w:rPr>
        <w:t>Commissariaat voor de Media</w:t>
      </w:r>
      <w:r w:rsidRPr="00165CC4">
        <w:rPr>
          <w:rFonts w:eastAsiaTheme="minorHAnsi" w:cstheme="minorBidi"/>
          <w:noProof/>
          <w:szCs w:val="22"/>
          <w:lang w:val="en-IE" w:eastAsia="en-US"/>
        </w:rPr>
        <w:t xml:space="preserve"> (‘CvdM’)</w:t>
      </w:r>
      <w:r w:rsidR="00896AB1">
        <w:rPr>
          <w:rFonts w:eastAsiaTheme="minorHAnsi" w:cstheme="minorBidi"/>
          <w:noProof/>
          <w:szCs w:val="22"/>
          <w:lang w:val="en-IE" w:eastAsia="en-US"/>
        </w:rPr>
        <w:t>,</w:t>
      </w:r>
      <w:r w:rsidRPr="00165CC4">
        <w:rPr>
          <w:rFonts w:eastAsiaTheme="minorHAnsi" w:cstheme="minorBidi"/>
          <w:noProof/>
          <w:szCs w:val="22"/>
          <w:lang w:val="en-IE" w:eastAsia="en-US"/>
        </w:rPr>
        <w:t xml:space="preserve"> is following up on compliance with the 2024 recommendations of the </w:t>
      </w:r>
      <w:r w:rsidR="00705582">
        <w:rPr>
          <w:rFonts w:eastAsiaTheme="minorHAnsi" w:cstheme="minorBidi"/>
          <w:noProof/>
          <w:szCs w:val="22"/>
          <w:lang w:val="en-IE" w:eastAsia="en-US"/>
        </w:rPr>
        <w:t xml:space="preserve">Investigation </w:t>
      </w:r>
      <w:r w:rsidRPr="00165CC4">
        <w:rPr>
          <w:rFonts w:eastAsiaTheme="minorHAnsi" w:cstheme="minorBidi"/>
          <w:noProof/>
          <w:szCs w:val="22"/>
          <w:lang w:val="en-IE" w:eastAsia="en-US"/>
        </w:rPr>
        <w:t>Committee</w:t>
      </w:r>
      <w:r w:rsidR="00705582">
        <w:rPr>
          <w:rFonts w:eastAsiaTheme="minorHAnsi" w:cstheme="minorBidi"/>
          <w:noProof/>
          <w:szCs w:val="22"/>
          <w:lang w:val="en-IE" w:eastAsia="en-US"/>
        </w:rPr>
        <w:t xml:space="preserve"> on Conduct and Culture of B</w:t>
      </w:r>
      <w:r w:rsidR="00896AB1">
        <w:rPr>
          <w:rFonts w:eastAsiaTheme="minorHAnsi" w:cstheme="minorBidi"/>
          <w:noProof/>
          <w:szCs w:val="22"/>
          <w:lang w:val="en-IE" w:eastAsia="en-US"/>
        </w:rPr>
        <w:t>r</w:t>
      </w:r>
      <w:r w:rsidR="00705582">
        <w:rPr>
          <w:rFonts w:eastAsiaTheme="minorHAnsi" w:cstheme="minorBidi"/>
          <w:noProof/>
          <w:szCs w:val="22"/>
          <w:lang w:val="en-IE" w:eastAsia="en-US"/>
        </w:rPr>
        <w:t>oadcasters</w:t>
      </w:r>
      <w:r w:rsidRPr="00165CC4">
        <w:rPr>
          <w:rFonts w:eastAsiaTheme="minorHAnsi" w:cstheme="minorBidi"/>
          <w:noProof/>
          <w:szCs w:val="22"/>
          <w:lang w:val="en-IE" w:eastAsia="en-US"/>
        </w:rPr>
        <w:t xml:space="preserve"> established by the foundation for public broadcasting (‘NPO’</w:t>
      </w:r>
      <w:r w:rsidR="00E45C7C">
        <w:rPr>
          <w:rFonts w:eastAsiaTheme="minorHAnsi" w:cstheme="minorBidi"/>
          <w:noProof/>
          <w:szCs w:val="22"/>
          <w:lang w:val="en-IE" w:eastAsia="en-US"/>
        </w:rPr>
        <w:t>)</w:t>
      </w:r>
      <w:r w:rsidR="00E16C14" w:rsidRPr="00165CC4">
        <w:rPr>
          <w:rFonts w:eastAsiaTheme="minorHAnsi" w:cstheme="minorBidi"/>
          <w:noProof/>
          <w:szCs w:val="22"/>
          <w:vertAlign w:val="superscript"/>
          <w:lang w:val="en-IE" w:eastAsia="en-US"/>
        </w:rPr>
        <w:footnoteReference w:id="128"/>
      </w:r>
      <w:r w:rsidRPr="00165CC4">
        <w:rPr>
          <w:rFonts w:eastAsiaTheme="minorHAnsi" w:cstheme="minorBidi"/>
          <w:noProof/>
          <w:szCs w:val="22"/>
          <w:lang w:val="en-IE" w:eastAsia="en-US"/>
        </w:rPr>
        <w:t xml:space="preserve"> to investigate misconduct and unsafe working environments within national public broadcasters, as well as on the resulting action plans by the public broadcasters and the NPO. For instance, the CvdM continued to report on the action plans it had asked all public broadcasters and their umbrella organisation – the NPO – to submit, emphasising the need for strong leadership, improved supervision and renewed ethical standards to support long-term cultural change</w:t>
      </w:r>
      <w:r w:rsidRPr="00165CC4">
        <w:rPr>
          <w:rFonts w:eastAsiaTheme="minorHAnsi" w:cstheme="minorBidi"/>
          <w:noProof/>
          <w:szCs w:val="22"/>
          <w:vertAlign w:val="superscript"/>
          <w:lang w:val="en-IE" w:eastAsia="en-US"/>
        </w:rPr>
        <w:footnoteReference w:id="129"/>
      </w:r>
      <w:r w:rsidRPr="00165CC4">
        <w:rPr>
          <w:rFonts w:eastAsiaTheme="minorHAnsi" w:cstheme="minorBidi"/>
          <w:noProof/>
          <w:szCs w:val="22"/>
          <w:lang w:val="en-IE" w:eastAsia="en-US"/>
        </w:rPr>
        <w:t>. The CvdM has indicated that, while its current resources</w:t>
      </w:r>
      <w:r w:rsidRPr="00165CC4" w:rsidDel="009D558E">
        <w:rPr>
          <w:rFonts w:eastAsiaTheme="minorHAnsi" w:cstheme="minorBidi"/>
          <w:noProof/>
          <w:szCs w:val="22"/>
          <w:lang w:val="en-IE" w:eastAsia="en-US"/>
        </w:rPr>
        <w:t xml:space="preserve"> </w:t>
      </w:r>
      <w:r w:rsidRPr="00165CC4">
        <w:rPr>
          <w:rFonts w:eastAsiaTheme="minorHAnsi" w:cstheme="minorBidi"/>
          <w:noProof/>
          <w:szCs w:val="22"/>
          <w:lang w:val="en-IE" w:eastAsia="en-US"/>
        </w:rPr>
        <w:t>are sufficient, the resource-intensive nature of supervising the digital environment necessitates careful prioritisation, as reflected in its Multiannual Strategy 2025–2030</w:t>
      </w:r>
      <w:r w:rsidRPr="00165CC4">
        <w:rPr>
          <w:rFonts w:eastAsiaTheme="minorHAnsi" w:cstheme="minorBidi"/>
          <w:noProof/>
          <w:szCs w:val="22"/>
          <w:vertAlign w:val="superscript"/>
          <w:lang w:val="en-IE" w:eastAsia="en-US"/>
        </w:rPr>
        <w:footnoteReference w:id="130"/>
      </w:r>
      <w:r w:rsidRPr="00165CC4">
        <w:rPr>
          <w:rFonts w:eastAsiaTheme="minorHAnsi" w:cstheme="minorBidi"/>
          <w:noProof/>
          <w:szCs w:val="22"/>
          <w:lang w:val="en-IE" w:eastAsia="en-US"/>
        </w:rPr>
        <w:t>. The strategy</w:t>
      </w:r>
      <w:r w:rsidRPr="00165CC4" w:rsidDel="0049253D">
        <w:rPr>
          <w:rFonts w:eastAsiaTheme="minorHAnsi" w:cstheme="minorBidi"/>
          <w:noProof/>
          <w:szCs w:val="22"/>
          <w:lang w:val="en-IE" w:eastAsia="en-US"/>
        </w:rPr>
        <w:t xml:space="preserve"> </w:t>
      </w:r>
      <w:r w:rsidRPr="00165CC4">
        <w:rPr>
          <w:rFonts w:eastAsiaTheme="minorHAnsi" w:cstheme="minorBidi"/>
          <w:noProof/>
          <w:szCs w:val="22"/>
          <w:lang w:val="en-IE" w:eastAsia="en-US"/>
        </w:rPr>
        <w:t>puts the focus of the CvdM’s activities on strengthening news services, ensuring a well-functioning public media landscape, and creating a safer online environment for minors, acknowledging the growing influence of social media and AI-driven content distribution</w:t>
      </w:r>
      <w:r w:rsidRPr="00165CC4">
        <w:rPr>
          <w:rFonts w:eastAsiaTheme="minorHAnsi" w:cstheme="minorBidi"/>
          <w:noProof/>
          <w:szCs w:val="22"/>
          <w:vertAlign w:val="superscript"/>
          <w:lang w:val="en-IE" w:eastAsia="en-US"/>
        </w:rPr>
        <w:footnoteReference w:id="131"/>
      </w:r>
      <w:r w:rsidRPr="00165CC4">
        <w:rPr>
          <w:rFonts w:eastAsiaTheme="minorHAnsi" w:cstheme="minorBidi"/>
          <w:noProof/>
          <w:szCs w:val="22"/>
          <w:lang w:val="en-IE" w:eastAsia="en-US"/>
        </w:rPr>
        <w:t xml:space="preserve">. </w:t>
      </w:r>
      <w:r w:rsidR="00290ADF" w:rsidRPr="00290ADF">
        <w:rPr>
          <w:rFonts w:eastAsiaTheme="minorHAnsi" w:cstheme="minorBidi"/>
          <w:noProof/>
          <w:szCs w:val="22"/>
          <w:lang w:val="en-IE" w:eastAsia="en-US"/>
        </w:rPr>
        <w:t>The CvdM was assigned as National Contact Point under the Political Advertising Regulation</w:t>
      </w:r>
      <w:r w:rsidR="0049484E">
        <w:rPr>
          <w:rStyle w:val="FootnoteReference"/>
          <w:rFonts w:eastAsiaTheme="minorHAnsi" w:cstheme="minorBidi"/>
          <w:noProof/>
          <w:szCs w:val="22"/>
          <w:lang w:val="en-IE" w:eastAsia="en-US"/>
        </w:rPr>
        <w:footnoteReference w:id="132"/>
      </w:r>
      <w:r w:rsidR="00290ADF" w:rsidRPr="00290ADF">
        <w:rPr>
          <w:rFonts w:eastAsiaTheme="minorHAnsi" w:cstheme="minorBidi"/>
          <w:noProof/>
          <w:szCs w:val="22"/>
          <w:lang w:val="en-IE" w:eastAsia="en-US"/>
        </w:rPr>
        <w:t>.</w:t>
      </w:r>
    </w:p>
    <w:p w14:paraId="47025390" w14:textId="4252A4BD" w:rsidR="00165CC4" w:rsidRPr="00165CC4" w:rsidRDefault="00165CC4" w:rsidP="00165CC4">
      <w:pPr>
        <w:rPr>
          <w:rFonts w:eastAsiaTheme="minorHAnsi" w:cstheme="minorBidi"/>
          <w:noProof/>
          <w:szCs w:val="22"/>
          <w:lang w:val="en-IE" w:eastAsia="en-US"/>
        </w:rPr>
      </w:pPr>
      <w:r w:rsidRPr="00165CC4">
        <w:rPr>
          <w:rFonts w:eastAsiaTheme="minorHAnsi" w:cstheme="minorBidi"/>
          <w:b/>
          <w:noProof/>
          <w:szCs w:val="22"/>
          <w:lang w:val="en-IE" w:eastAsia="en-US"/>
        </w:rPr>
        <w:t>The impact of steps taken to address concerns about the adequacy of the Press Council still remains to be seen, nevertheless there was an increase in the number of complaints received</w:t>
      </w:r>
      <w:r w:rsidRPr="00165CC4">
        <w:rPr>
          <w:rFonts w:eastAsiaTheme="minorHAnsi" w:cstheme="minorBidi"/>
          <w:noProof/>
          <w:szCs w:val="22"/>
          <w:lang w:val="en-IE" w:eastAsia="en-US"/>
        </w:rPr>
        <w:t>. The Press Council had taken initiatives to address concerns about its adequacy</w:t>
      </w:r>
      <w:r w:rsidRPr="00165CC4">
        <w:rPr>
          <w:rFonts w:eastAsiaTheme="minorHAnsi" w:cstheme="minorBidi"/>
          <w:noProof/>
          <w:szCs w:val="22"/>
          <w:vertAlign w:val="superscript"/>
          <w:lang w:val="en-IE" w:eastAsia="en-US"/>
        </w:rPr>
        <w:footnoteReference w:id="133"/>
      </w:r>
      <w:r w:rsidRPr="00165CC4">
        <w:rPr>
          <w:rFonts w:eastAsiaTheme="minorHAnsi" w:cstheme="minorBidi"/>
          <w:noProof/>
          <w:szCs w:val="22"/>
          <w:lang w:val="en-IE" w:eastAsia="en-US"/>
        </w:rPr>
        <w:t xml:space="preserve">. The initiatives </w:t>
      </w:r>
      <w:r w:rsidR="000022E2">
        <w:rPr>
          <w:rFonts w:eastAsiaTheme="minorHAnsi" w:cstheme="minorBidi"/>
          <w:noProof/>
          <w:szCs w:val="22"/>
          <w:lang w:val="en-IE" w:eastAsia="en-US"/>
        </w:rPr>
        <w:t xml:space="preserve">aim </w:t>
      </w:r>
      <w:r w:rsidR="00DB169B">
        <w:rPr>
          <w:rFonts w:eastAsiaTheme="minorHAnsi" w:cstheme="minorBidi"/>
          <w:noProof/>
          <w:szCs w:val="22"/>
          <w:lang w:val="en-IE" w:eastAsia="en-US"/>
        </w:rPr>
        <w:t>to prevent</w:t>
      </w:r>
      <w:r w:rsidRPr="00165CC4">
        <w:rPr>
          <w:rFonts w:eastAsiaTheme="minorHAnsi" w:cstheme="minorBidi"/>
          <w:noProof/>
          <w:szCs w:val="22"/>
          <w:lang w:val="en-IE" w:eastAsia="en-US"/>
        </w:rPr>
        <w:t xml:space="preserve"> the Press Council </w:t>
      </w:r>
      <w:r w:rsidR="00FE515D">
        <w:rPr>
          <w:rFonts w:eastAsiaTheme="minorHAnsi" w:cstheme="minorBidi"/>
          <w:noProof/>
          <w:szCs w:val="22"/>
          <w:lang w:val="en-IE" w:eastAsia="en-US"/>
        </w:rPr>
        <w:t xml:space="preserve">from </w:t>
      </w:r>
      <w:r w:rsidRPr="00165CC4">
        <w:rPr>
          <w:rFonts w:eastAsiaTheme="minorHAnsi" w:cstheme="minorBidi"/>
          <w:noProof/>
          <w:szCs w:val="22"/>
          <w:lang w:val="en-IE" w:eastAsia="en-US"/>
        </w:rPr>
        <w:t>being perceived as a forum for legal disputes, for example by asking parties to waive legal action if they submit a complaint to the Press Council</w:t>
      </w:r>
      <w:r w:rsidRPr="00165CC4">
        <w:rPr>
          <w:rFonts w:eastAsiaTheme="minorHAnsi" w:cstheme="minorBidi"/>
          <w:noProof/>
          <w:szCs w:val="22"/>
          <w:vertAlign w:val="superscript"/>
          <w:lang w:val="en-IE" w:eastAsia="en-US"/>
        </w:rPr>
        <w:footnoteReference w:id="134"/>
      </w:r>
      <w:r w:rsidRPr="00165CC4">
        <w:rPr>
          <w:rFonts w:eastAsiaTheme="minorHAnsi" w:cstheme="minorBidi"/>
          <w:noProof/>
          <w:szCs w:val="22"/>
          <w:lang w:val="en-IE" w:eastAsia="en-US"/>
        </w:rPr>
        <w:t xml:space="preserve">, </w:t>
      </w:r>
      <w:r w:rsidR="00D96CBA">
        <w:rPr>
          <w:rFonts w:eastAsiaTheme="minorHAnsi" w:cstheme="minorBidi"/>
          <w:noProof/>
          <w:szCs w:val="22"/>
          <w:lang w:val="en-IE" w:eastAsia="en-US"/>
        </w:rPr>
        <w:t xml:space="preserve">and </w:t>
      </w:r>
      <w:r w:rsidRPr="00165CC4">
        <w:rPr>
          <w:rFonts w:eastAsiaTheme="minorHAnsi" w:cstheme="minorBidi"/>
          <w:noProof/>
          <w:szCs w:val="22"/>
          <w:lang w:val="en-IE" w:eastAsia="en-US"/>
        </w:rPr>
        <w:t>would be tested during a period of two years. The Press Council stated in its annual report for 2024, published mid-2025, that the initiatives work well in practice</w:t>
      </w:r>
      <w:r w:rsidRPr="00165CC4">
        <w:rPr>
          <w:rFonts w:eastAsiaTheme="minorHAnsi" w:cstheme="minorBidi"/>
          <w:noProof/>
          <w:szCs w:val="22"/>
          <w:vertAlign w:val="superscript"/>
          <w:lang w:val="en-IE" w:eastAsia="en-US"/>
        </w:rPr>
        <w:footnoteReference w:id="135"/>
      </w:r>
      <w:r w:rsidRPr="00165CC4">
        <w:rPr>
          <w:rFonts w:eastAsiaTheme="minorHAnsi" w:cstheme="minorBidi"/>
          <w:noProof/>
          <w:szCs w:val="22"/>
          <w:lang w:val="en-IE" w:eastAsia="en-US"/>
        </w:rPr>
        <w:t>. While the full effects still remain to be seen</w:t>
      </w:r>
      <w:r w:rsidRPr="00165CC4">
        <w:rPr>
          <w:rFonts w:eastAsiaTheme="minorHAnsi" w:cstheme="minorBidi"/>
          <w:bCs/>
          <w:noProof/>
          <w:szCs w:val="22"/>
          <w:vertAlign w:val="superscript"/>
          <w:lang w:val="en-IE" w:eastAsia="en-US"/>
        </w:rPr>
        <w:footnoteReference w:id="136"/>
      </w:r>
      <w:r w:rsidRPr="00165CC4">
        <w:rPr>
          <w:rFonts w:eastAsiaTheme="minorHAnsi" w:cstheme="minorBidi"/>
          <w:noProof/>
          <w:szCs w:val="22"/>
          <w:lang w:val="en-IE" w:eastAsia="en-US"/>
        </w:rPr>
        <w:t>, the Press Council reported a significant increase in number of complaints received</w:t>
      </w:r>
      <w:r w:rsidRPr="00165CC4">
        <w:rPr>
          <w:rFonts w:eastAsiaTheme="minorHAnsi" w:cstheme="minorBidi"/>
          <w:noProof/>
          <w:szCs w:val="22"/>
          <w:vertAlign w:val="superscript"/>
          <w:lang w:val="en-IE" w:eastAsia="en-US"/>
        </w:rPr>
        <w:footnoteReference w:id="137"/>
      </w:r>
      <w:r w:rsidRPr="00165CC4">
        <w:rPr>
          <w:rFonts w:eastAsiaTheme="minorHAnsi" w:cstheme="minorBidi"/>
          <w:noProof/>
          <w:szCs w:val="22"/>
          <w:lang w:val="en-IE" w:eastAsia="en-US"/>
        </w:rPr>
        <w:t>.</w:t>
      </w:r>
    </w:p>
    <w:p w14:paraId="3F4C8E2F" w14:textId="70C607A7" w:rsidR="00165CC4" w:rsidRPr="00165CC4" w:rsidRDefault="00165CC4" w:rsidP="00165CC4">
      <w:pPr>
        <w:rPr>
          <w:rFonts w:eastAsiaTheme="minorHAnsi" w:cstheme="minorBidi"/>
          <w:noProof/>
          <w:szCs w:val="22"/>
          <w:lang w:val="en-IE" w:eastAsia="en-US"/>
        </w:rPr>
      </w:pPr>
      <w:r w:rsidRPr="00165CC4">
        <w:rPr>
          <w:rFonts w:eastAsiaTheme="minorHAnsi" w:cstheme="minorBidi"/>
          <w:b/>
          <w:noProof/>
          <w:szCs w:val="22"/>
          <w:lang w:val="en-IE" w:eastAsia="en-US"/>
        </w:rPr>
        <w:t>The Government continues to work on the planned reform of the public service media, marking some progress on the recommendation to strengthen its governance and capacity to uphold journalistic standards</w:t>
      </w:r>
      <w:r w:rsidRPr="00165CC4">
        <w:rPr>
          <w:rFonts w:eastAsiaTheme="minorHAnsi" w:cstheme="minorBidi"/>
          <w:b/>
          <w:noProof/>
          <w:szCs w:val="22"/>
          <w:vertAlign w:val="superscript"/>
          <w:lang w:val="en-IE" w:eastAsia="en-US"/>
        </w:rPr>
        <w:footnoteReference w:id="138"/>
      </w:r>
      <w:r w:rsidRPr="00165CC4">
        <w:rPr>
          <w:rFonts w:eastAsiaTheme="minorHAnsi" w:cstheme="minorBidi"/>
          <w:noProof/>
          <w:szCs w:val="22"/>
          <w:lang w:val="en-IE" w:eastAsia="en-US"/>
        </w:rPr>
        <w:t>. Preparatory work on the reform of the public service media is still ongoing. A public consultation is scheduled for the summer of 2026 and a draft law is expected to be sent to Parliament in early 2027</w:t>
      </w:r>
      <w:r w:rsidRPr="00165CC4">
        <w:rPr>
          <w:rFonts w:eastAsiaTheme="minorHAnsi" w:cstheme="minorBidi"/>
          <w:noProof/>
          <w:szCs w:val="22"/>
          <w:vertAlign w:val="superscript"/>
          <w:lang w:val="en-IE" w:eastAsia="en-US"/>
        </w:rPr>
        <w:footnoteReference w:id="139"/>
      </w:r>
      <w:r w:rsidRPr="00165CC4">
        <w:rPr>
          <w:rFonts w:eastAsiaTheme="minorHAnsi" w:cstheme="minorBidi"/>
          <w:noProof/>
          <w:szCs w:val="22"/>
          <w:lang w:val="en-IE" w:eastAsia="en-US"/>
        </w:rPr>
        <w:t>, with a planned entry into force on 1 January 2028. Provided this timeline is maintained,</w:t>
      </w:r>
      <w:r w:rsidRPr="00165CC4" w:rsidDel="00017169">
        <w:rPr>
          <w:rFonts w:eastAsiaTheme="minorHAnsi" w:cstheme="minorBidi"/>
          <w:noProof/>
          <w:szCs w:val="22"/>
          <w:lang w:val="en-IE" w:eastAsia="en-US"/>
        </w:rPr>
        <w:t xml:space="preserve"> </w:t>
      </w:r>
      <w:r w:rsidRPr="00165CC4">
        <w:rPr>
          <w:rFonts w:eastAsiaTheme="minorHAnsi" w:cstheme="minorBidi"/>
          <w:noProof/>
          <w:szCs w:val="22"/>
          <w:lang w:val="en-IE" w:eastAsia="en-US"/>
        </w:rPr>
        <w:t>the new system for national public broadcasters should be operational on 1 January 2029</w:t>
      </w:r>
      <w:r w:rsidRPr="00165CC4">
        <w:rPr>
          <w:rFonts w:eastAsiaTheme="minorHAnsi" w:cstheme="minorBidi"/>
          <w:noProof/>
          <w:szCs w:val="22"/>
          <w:vertAlign w:val="superscript"/>
          <w:lang w:val="en-IE" w:eastAsia="en-US"/>
        </w:rPr>
        <w:footnoteReference w:id="140"/>
      </w:r>
      <w:r w:rsidRPr="00165CC4">
        <w:rPr>
          <w:rFonts w:eastAsiaTheme="minorHAnsi" w:cstheme="minorBidi"/>
          <w:noProof/>
          <w:szCs w:val="22"/>
          <w:lang w:val="en-IE" w:eastAsia="en-US"/>
        </w:rPr>
        <w:t>. As previously reported</w:t>
      </w:r>
      <w:r w:rsidRPr="00165CC4">
        <w:rPr>
          <w:rFonts w:eastAsiaTheme="minorHAnsi" w:cstheme="minorBidi"/>
          <w:noProof/>
          <w:szCs w:val="22"/>
          <w:vertAlign w:val="superscript"/>
          <w:lang w:val="en-IE" w:eastAsia="en-US"/>
        </w:rPr>
        <w:footnoteReference w:id="141"/>
      </w:r>
      <w:r w:rsidRPr="00165CC4">
        <w:rPr>
          <w:rFonts w:eastAsiaTheme="minorHAnsi" w:cstheme="minorBidi"/>
          <w:noProof/>
          <w:szCs w:val="22"/>
          <w:lang w:val="en-IE" w:eastAsia="en-US"/>
        </w:rPr>
        <w:t>, the reform aims to strengthen editorial independence, journalistic standards and oversight and abolish the current licensing system</w:t>
      </w:r>
      <w:r w:rsidRPr="00165CC4">
        <w:rPr>
          <w:rFonts w:eastAsiaTheme="minorHAnsi" w:cstheme="minorBidi"/>
          <w:noProof/>
          <w:szCs w:val="22"/>
          <w:vertAlign w:val="superscript"/>
          <w:lang w:val="en-IE" w:eastAsia="en-US"/>
        </w:rPr>
        <w:footnoteReference w:id="142"/>
      </w:r>
      <w:r w:rsidRPr="00165CC4">
        <w:rPr>
          <w:rFonts w:eastAsiaTheme="minorHAnsi" w:cstheme="minorBidi"/>
          <w:noProof/>
          <w:szCs w:val="22"/>
          <w:lang w:val="en-IE" w:eastAsia="en-US"/>
        </w:rPr>
        <w:t>. In parallel, annual budget cuts to be implemented in 2027</w:t>
      </w:r>
      <w:r w:rsidRPr="00165CC4">
        <w:rPr>
          <w:rFonts w:eastAsiaTheme="minorHAnsi" w:cstheme="minorBidi"/>
          <w:noProof/>
          <w:szCs w:val="22"/>
          <w:vertAlign w:val="superscript"/>
          <w:lang w:val="en-IE" w:eastAsia="en-US"/>
        </w:rPr>
        <w:footnoteReference w:id="143"/>
      </w:r>
      <w:r w:rsidRPr="00165CC4">
        <w:rPr>
          <w:rFonts w:eastAsiaTheme="minorHAnsi" w:cstheme="minorBidi"/>
          <w:noProof/>
          <w:szCs w:val="22"/>
          <w:lang w:val="en-IE" w:eastAsia="en-US"/>
        </w:rPr>
        <w:t xml:space="preserve"> are expected to have an impact on programming and overhead staff structure</w:t>
      </w:r>
      <w:r w:rsidRPr="00165CC4">
        <w:rPr>
          <w:rFonts w:eastAsiaTheme="minorHAnsi" w:cstheme="minorBidi"/>
          <w:noProof/>
          <w:szCs w:val="22"/>
          <w:vertAlign w:val="superscript"/>
          <w:lang w:val="en-IE" w:eastAsia="en-US"/>
        </w:rPr>
        <w:footnoteReference w:id="144"/>
      </w:r>
      <w:r w:rsidRPr="00165CC4">
        <w:rPr>
          <w:rFonts w:eastAsiaTheme="minorHAnsi" w:cstheme="minorBidi"/>
          <w:noProof/>
          <w:szCs w:val="22"/>
          <w:lang w:val="en-IE" w:eastAsia="en-US"/>
        </w:rPr>
        <w:t>. The previously proposed increase in VAT for the sports, cultural and media sectors was withdrawn</w:t>
      </w:r>
      <w:r w:rsidRPr="00165CC4">
        <w:rPr>
          <w:rFonts w:eastAsiaTheme="minorHAnsi" w:cstheme="minorBidi"/>
          <w:noProof/>
          <w:szCs w:val="22"/>
          <w:vertAlign w:val="superscript"/>
          <w:lang w:val="en-IE" w:eastAsia="en-US"/>
        </w:rPr>
        <w:footnoteReference w:id="145"/>
      </w:r>
      <w:r w:rsidRPr="00165CC4">
        <w:rPr>
          <w:rFonts w:eastAsiaTheme="minorHAnsi" w:cstheme="minorBidi"/>
          <w:noProof/>
          <w:szCs w:val="22"/>
          <w:lang w:val="en-IE" w:eastAsia="en-US"/>
        </w:rPr>
        <w:t>. The Government has sent the draft law aimed at strengthening local public broadcasters to the parliament on 24 March 2026</w:t>
      </w:r>
      <w:r w:rsidRPr="00165CC4">
        <w:rPr>
          <w:rFonts w:eastAsiaTheme="minorHAnsi" w:cstheme="minorBidi"/>
          <w:noProof/>
          <w:szCs w:val="22"/>
          <w:vertAlign w:val="superscript"/>
          <w:lang w:val="en-IE" w:eastAsia="en-US"/>
        </w:rPr>
        <w:footnoteReference w:id="146"/>
      </w:r>
      <w:r w:rsidRPr="00165CC4">
        <w:rPr>
          <w:rFonts w:eastAsiaTheme="minorHAnsi" w:cstheme="minorBidi"/>
          <w:noProof/>
          <w:szCs w:val="22"/>
          <w:lang w:val="en-IE" w:eastAsia="en-US"/>
        </w:rPr>
        <w:t>. The proposal aims, as of 1 January 2028, to increase the budget (to an estimated EUR</w:t>
      </w:r>
      <w:r w:rsidR="004778AD">
        <w:rPr>
          <w:rFonts w:eastAsiaTheme="minorHAnsi" w:cstheme="minorBidi"/>
          <w:noProof/>
          <w:szCs w:val="22"/>
          <w:lang w:val="en-IE" w:eastAsia="en-US"/>
        </w:rPr>
        <w:t> </w:t>
      </w:r>
      <w:r w:rsidRPr="00165CC4">
        <w:rPr>
          <w:rFonts w:eastAsiaTheme="minorHAnsi" w:cstheme="minorBidi"/>
          <w:noProof/>
          <w:szCs w:val="22"/>
          <w:lang w:val="en-IE" w:eastAsia="en-US"/>
        </w:rPr>
        <w:t>34,5</w:t>
      </w:r>
      <w:r w:rsidR="004778AD">
        <w:rPr>
          <w:rFonts w:eastAsiaTheme="minorHAnsi" w:cstheme="minorBidi"/>
          <w:noProof/>
          <w:szCs w:val="22"/>
          <w:lang w:val="en-IE" w:eastAsia="en-US"/>
        </w:rPr>
        <w:t> </w:t>
      </w:r>
      <w:r w:rsidRPr="00165CC4">
        <w:rPr>
          <w:rFonts w:eastAsiaTheme="minorHAnsi" w:cstheme="minorBidi"/>
          <w:noProof/>
          <w:szCs w:val="22"/>
          <w:lang w:val="en-IE" w:eastAsia="en-US"/>
        </w:rPr>
        <w:t xml:space="preserve">million), shift funding from local authorities to the central government, and reduce the number of local broadcasters from 220 to maximum 80. Finally, in view of NPO’s plan of action following the inquiry by the Committee on Conduct and Culture of Broadcasters, stakeholders report some improvements, while journalists’ associations highlight in particular the uncertainty surrounding journalists’ positions due to unclear decision-making structures within the </w:t>
      </w:r>
      <w:r w:rsidR="00384CE3">
        <w:rPr>
          <w:rFonts w:eastAsiaTheme="minorHAnsi" w:cstheme="minorBidi"/>
          <w:noProof/>
          <w:szCs w:val="22"/>
          <w:lang w:val="en-IE" w:eastAsia="en-US"/>
        </w:rPr>
        <w:t>NPO</w:t>
      </w:r>
      <w:r w:rsidRPr="00165CC4">
        <w:rPr>
          <w:rFonts w:eastAsiaTheme="minorHAnsi" w:cstheme="minorBidi"/>
          <w:noProof/>
          <w:szCs w:val="22"/>
          <w:lang w:val="en-IE" w:eastAsia="en-US"/>
        </w:rPr>
        <w:t xml:space="preserve"> and the prevalence of temporary contracts</w:t>
      </w:r>
      <w:r w:rsidRPr="00165CC4">
        <w:rPr>
          <w:rFonts w:eastAsiaTheme="minorHAnsi" w:cstheme="minorBidi"/>
          <w:noProof/>
          <w:szCs w:val="22"/>
          <w:vertAlign w:val="superscript"/>
          <w:lang w:val="en-IE" w:eastAsia="en-US"/>
        </w:rPr>
        <w:footnoteReference w:id="147"/>
      </w:r>
      <w:r w:rsidRPr="00165CC4">
        <w:rPr>
          <w:rFonts w:eastAsiaTheme="minorHAnsi" w:cstheme="minorBidi"/>
          <w:noProof/>
          <w:szCs w:val="22"/>
          <w:lang w:val="en-IE" w:eastAsia="en-US"/>
        </w:rPr>
        <w:t>, calling for the implementation of the recommendations on a safe working environment. Given the ongoing work to reform public service media, some further progress has been made on this recommendation.</w:t>
      </w:r>
    </w:p>
    <w:p w14:paraId="76F776DD" w14:textId="78E75A84" w:rsidR="00165CC4" w:rsidRPr="00165CC4" w:rsidRDefault="00165CC4" w:rsidP="00723D8F">
      <w:pPr>
        <w:rPr>
          <w:rFonts w:eastAsiaTheme="minorHAnsi" w:cstheme="minorBidi"/>
          <w:noProof/>
          <w:szCs w:val="22"/>
          <w:lang w:val="en-IE" w:eastAsia="en-US"/>
        </w:rPr>
      </w:pPr>
      <w:r w:rsidRPr="00165CC4">
        <w:rPr>
          <w:rFonts w:eastAsiaTheme="minorHAnsi" w:cstheme="minorBidi"/>
          <w:b/>
          <w:noProof/>
          <w:szCs w:val="22"/>
          <w:lang w:val="en-IE" w:eastAsia="en-US"/>
        </w:rPr>
        <w:t>Challenges related to a high level of media market concentration and limited media ownership transparency remain.</w:t>
      </w:r>
      <w:r w:rsidRPr="00165CC4">
        <w:rPr>
          <w:rFonts w:eastAsiaTheme="minorHAnsi" w:cstheme="minorBidi"/>
          <w:noProof/>
          <w:szCs w:val="22"/>
          <w:lang w:val="en-IE" w:eastAsia="en-US"/>
        </w:rPr>
        <w:t xml:space="preserve"> The Government reiterated its intention to propose legislation on the assessment of media market concentrations with potentially significant impact on media pluralism and editorial independence in the context of the implementation of EMFA</w:t>
      </w:r>
      <w:r w:rsidRPr="00165CC4">
        <w:rPr>
          <w:rFonts w:eastAsiaTheme="minorHAnsi" w:cstheme="minorBidi"/>
          <w:noProof/>
          <w:szCs w:val="22"/>
          <w:vertAlign w:val="superscript"/>
          <w:lang w:val="en-IE" w:eastAsia="en-US"/>
        </w:rPr>
        <w:footnoteReference w:id="148"/>
      </w:r>
      <w:r w:rsidRPr="00165CC4">
        <w:rPr>
          <w:rFonts w:eastAsiaTheme="minorHAnsi" w:cstheme="minorBidi"/>
          <w:noProof/>
          <w:szCs w:val="22"/>
          <w:lang w:val="en-IE" w:eastAsia="en-US"/>
        </w:rPr>
        <w:t xml:space="preserve">. The </w:t>
      </w:r>
      <w:r w:rsidR="00FF0C9B">
        <w:rPr>
          <w:rFonts w:eastAsiaTheme="minorHAnsi" w:cstheme="minorBidi"/>
          <w:noProof/>
          <w:szCs w:val="22"/>
          <w:lang w:val="en-IE" w:eastAsia="en-US"/>
        </w:rPr>
        <w:t>CvdM</w:t>
      </w:r>
      <w:r w:rsidRPr="00165CC4">
        <w:rPr>
          <w:rFonts w:eastAsiaTheme="minorHAnsi" w:cstheme="minorBidi"/>
          <w:noProof/>
          <w:szCs w:val="22"/>
          <w:lang w:val="en-IE" w:eastAsia="en-US"/>
        </w:rPr>
        <w:t xml:space="preserve"> still faces challenges in accessing full information about media ownership, due to a lack of competence in this regard, especially in complex financial structures for the purposes of its Media Monitor</w:t>
      </w:r>
      <w:r w:rsidRPr="00165CC4">
        <w:rPr>
          <w:rFonts w:eastAsiaTheme="minorHAnsi" w:cstheme="minorBidi"/>
          <w:noProof/>
          <w:szCs w:val="22"/>
          <w:vertAlign w:val="superscript"/>
          <w:lang w:val="en-IE" w:eastAsia="en-US"/>
        </w:rPr>
        <w:footnoteReference w:id="149"/>
      </w:r>
      <w:r w:rsidRPr="00165CC4">
        <w:rPr>
          <w:rFonts w:eastAsiaTheme="minorHAnsi" w:cstheme="minorBidi"/>
          <w:noProof/>
          <w:szCs w:val="22"/>
          <w:lang w:val="en-IE" w:eastAsia="en-US"/>
        </w:rPr>
        <w:t>. The Media Pluralism Monitor 2026 observes a very high risk in view of transparency of media ownership</w:t>
      </w:r>
      <w:r w:rsidRPr="00165CC4">
        <w:rPr>
          <w:rFonts w:eastAsiaTheme="minorHAnsi" w:cstheme="minorBidi"/>
          <w:noProof/>
          <w:szCs w:val="22"/>
          <w:vertAlign w:val="superscript"/>
          <w:lang w:val="en-IE" w:eastAsia="en-US"/>
        </w:rPr>
        <w:footnoteReference w:id="150"/>
      </w:r>
      <w:r w:rsidRPr="00165CC4">
        <w:rPr>
          <w:rFonts w:eastAsiaTheme="minorHAnsi" w:cstheme="minorBidi"/>
          <w:noProof/>
          <w:szCs w:val="22"/>
          <w:lang w:val="en-IE" w:eastAsia="en-US"/>
        </w:rPr>
        <w:t xml:space="preserve"> (compared to a high risk in the 2025 report)</w:t>
      </w:r>
      <w:r w:rsidRPr="00165CC4">
        <w:rPr>
          <w:rFonts w:eastAsiaTheme="minorHAnsi" w:cstheme="minorBidi"/>
          <w:noProof/>
          <w:szCs w:val="22"/>
          <w:vertAlign w:val="superscript"/>
          <w:lang w:val="en-IE" w:eastAsia="en-US"/>
        </w:rPr>
        <w:footnoteReference w:id="151"/>
      </w:r>
      <w:r w:rsidRPr="00165CC4">
        <w:rPr>
          <w:rFonts w:eastAsiaTheme="minorHAnsi" w:cstheme="minorBidi"/>
          <w:noProof/>
          <w:szCs w:val="22"/>
          <w:lang w:val="en-IE" w:eastAsia="en-US"/>
        </w:rPr>
        <w:t>. R</w:t>
      </w:r>
      <w:r w:rsidRPr="00165CC4">
        <w:rPr>
          <w:noProof/>
          <w:szCs w:val="22"/>
          <w:lang w:val="en-IE" w:eastAsia="en-US"/>
        </w:rPr>
        <w:t>egarding the merger between DPG Media and RTL Nederland</w:t>
      </w:r>
      <w:r w:rsidRPr="00165CC4">
        <w:rPr>
          <w:noProof/>
          <w:szCs w:val="22"/>
          <w:vertAlign w:val="superscript"/>
          <w:lang w:val="en-IE" w:eastAsia="en-US"/>
        </w:rPr>
        <w:footnoteReference w:id="152"/>
      </w:r>
      <w:r w:rsidRPr="00165CC4">
        <w:rPr>
          <w:noProof/>
          <w:szCs w:val="22"/>
          <w:lang w:val="en-IE" w:eastAsia="en-US"/>
        </w:rPr>
        <w:t xml:space="preserve"> </w:t>
      </w:r>
      <w:r w:rsidRPr="00165CC4">
        <w:rPr>
          <w:rFonts w:eastAsiaTheme="minorHAnsi" w:cstheme="minorBidi"/>
          <w:noProof/>
          <w:szCs w:val="22"/>
          <w:lang w:val="en-IE" w:eastAsia="en-US"/>
        </w:rPr>
        <w:t>which became final in September 2025,</w:t>
      </w:r>
      <w:r w:rsidRPr="00165CC4">
        <w:rPr>
          <w:noProof/>
          <w:szCs w:val="22"/>
          <w:lang w:val="en-IE" w:eastAsia="en-US"/>
        </w:rPr>
        <w:t xml:space="preserve"> stakeholders consider it too early to report on the effects on the Dutch media landscape of the structural conditions imposed by </w:t>
      </w:r>
      <w:r w:rsidRPr="00165CC4">
        <w:rPr>
          <w:rFonts w:eastAsiaTheme="minorHAnsi" w:cstheme="minorBidi"/>
          <w:noProof/>
          <w:szCs w:val="22"/>
          <w:lang w:val="en-IE" w:eastAsia="en-US"/>
        </w:rPr>
        <w:t xml:space="preserve">the </w:t>
      </w:r>
      <w:r w:rsidR="00723D8F" w:rsidRPr="00723D8F">
        <w:rPr>
          <w:rFonts w:eastAsiaTheme="minorHAnsi" w:cstheme="minorBidi"/>
          <w:noProof/>
          <w:szCs w:val="22"/>
          <w:lang w:val="en-IE" w:eastAsia="en-US"/>
        </w:rPr>
        <w:t>Netherlands Authority for</w:t>
      </w:r>
      <w:r w:rsidR="00723D8F">
        <w:rPr>
          <w:rFonts w:eastAsiaTheme="minorHAnsi" w:cstheme="minorBidi"/>
          <w:noProof/>
          <w:szCs w:val="22"/>
          <w:lang w:val="en-IE" w:eastAsia="en-US"/>
        </w:rPr>
        <w:t xml:space="preserve"> </w:t>
      </w:r>
      <w:r w:rsidR="00723D8F" w:rsidRPr="00723D8F">
        <w:rPr>
          <w:rFonts w:eastAsiaTheme="minorHAnsi" w:cstheme="minorBidi"/>
          <w:noProof/>
          <w:szCs w:val="22"/>
          <w:lang w:val="en-IE" w:eastAsia="en-US"/>
        </w:rPr>
        <w:t>Consumers and Markets</w:t>
      </w:r>
      <w:r w:rsidRPr="00165CC4">
        <w:rPr>
          <w:noProof/>
          <w:szCs w:val="22"/>
          <w:lang w:val="en-IE" w:eastAsia="en-US"/>
        </w:rPr>
        <w:t xml:space="preserve">. </w:t>
      </w:r>
      <w:r w:rsidRPr="00165CC4">
        <w:rPr>
          <w:rFonts w:eastAsiaTheme="minorHAnsi" w:cstheme="minorBidi"/>
          <w:noProof/>
          <w:szCs w:val="22"/>
          <w:lang w:val="en-IE" w:eastAsia="en-US"/>
        </w:rPr>
        <w:t>The trade organisation for news companies expressed the need to protect the earning models of local commercial news media</w:t>
      </w:r>
      <w:r w:rsidRPr="00165CC4">
        <w:rPr>
          <w:rFonts w:eastAsiaTheme="minorHAnsi" w:cstheme="minorBidi"/>
          <w:noProof/>
          <w:szCs w:val="22"/>
          <w:vertAlign w:val="superscript"/>
          <w:lang w:val="en-IE" w:eastAsia="en-US"/>
        </w:rPr>
        <w:footnoteReference w:id="153"/>
      </w:r>
      <w:r w:rsidRPr="00165CC4">
        <w:rPr>
          <w:rFonts w:eastAsiaTheme="minorHAnsi" w:cstheme="minorBidi"/>
          <w:noProof/>
          <w:szCs w:val="22"/>
          <w:lang w:val="en-IE" w:eastAsia="en-US"/>
        </w:rPr>
        <w:t>. In line with last year’s findings, the Media Pluralism Monitor 2026 indicates that while risks to media market plurality are medium-high, editorial independence continues to be assessed at very low risk</w:t>
      </w:r>
      <w:r w:rsidRPr="00165CC4">
        <w:rPr>
          <w:rFonts w:eastAsiaTheme="minorHAnsi" w:cstheme="minorBidi"/>
          <w:noProof/>
          <w:szCs w:val="22"/>
          <w:vertAlign w:val="superscript"/>
          <w:lang w:val="en-IE" w:eastAsia="en-US"/>
        </w:rPr>
        <w:footnoteReference w:id="154"/>
      </w:r>
      <w:r w:rsidRPr="00165CC4">
        <w:rPr>
          <w:rFonts w:eastAsiaTheme="minorHAnsi" w:cstheme="minorBidi"/>
          <w:noProof/>
          <w:szCs w:val="22"/>
          <w:lang w:val="en-IE" w:eastAsia="en-US"/>
        </w:rPr>
        <w:t>.</w:t>
      </w:r>
    </w:p>
    <w:p w14:paraId="0E97FBAB" w14:textId="58533880" w:rsidR="00165CC4" w:rsidRPr="00165CC4" w:rsidRDefault="00165CC4" w:rsidP="00165CC4">
      <w:pPr>
        <w:rPr>
          <w:rFonts w:eastAsiaTheme="minorHAnsi" w:cstheme="minorBidi"/>
          <w:noProof/>
          <w:szCs w:val="22"/>
          <w:lang w:val="en-IE" w:eastAsia="en-US"/>
        </w:rPr>
      </w:pPr>
      <w:r w:rsidRPr="00165CC4">
        <w:rPr>
          <w:rFonts w:eastAsiaTheme="minorHAnsi" w:cstheme="minorBidi"/>
          <w:b/>
          <w:noProof/>
          <w:szCs w:val="22"/>
          <w:lang w:val="en-IE" w:eastAsia="en-US"/>
        </w:rPr>
        <w:t>Work to improve transparency and access to information continued.</w:t>
      </w:r>
      <w:r w:rsidRPr="00165CC4">
        <w:rPr>
          <w:rFonts w:eastAsiaTheme="minorHAnsi" w:cstheme="minorBidi"/>
          <w:noProof/>
          <w:szCs w:val="22"/>
          <w:lang w:val="en-IE" w:eastAsia="en-US"/>
        </w:rPr>
        <w:t xml:space="preserve"> The Dutch Government is continuing the work to improve the implementation of the Open Government Act</w:t>
      </w:r>
      <w:r w:rsidRPr="00165CC4">
        <w:rPr>
          <w:rFonts w:eastAsiaTheme="minorHAnsi" w:cstheme="minorBidi"/>
          <w:noProof/>
          <w:szCs w:val="22"/>
          <w:vertAlign w:val="superscript"/>
          <w:lang w:val="en-IE" w:eastAsia="en-US"/>
        </w:rPr>
        <w:footnoteReference w:id="155"/>
      </w:r>
      <w:r w:rsidRPr="00165CC4">
        <w:rPr>
          <w:rFonts w:eastAsiaTheme="minorHAnsi" w:cstheme="minorBidi"/>
          <w:noProof/>
          <w:szCs w:val="22"/>
          <w:lang w:val="en-IE" w:eastAsia="en-US"/>
        </w:rPr>
        <w:t>. Efforts to improve the processing of disclosure requests continued in 2025. Intergovernmental working groups are in the final stages of developing a handbook to help public authorities address misuse of requests</w:t>
      </w:r>
      <w:r w:rsidRPr="00165CC4">
        <w:rPr>
          <w:rFonts w:eastAsiaTheme="minorHAnsi" w:cstheme="minorBidi"/>
          <w:noProof/>
          <w:szCs w:val="22"/>
          <w:vertAlign w:val="superscript"/>
          <w:lang w:val="en-IE" w:eastAsia="en-US"/>
        </w:rPr>
        <w:footnoteReference w:id="156"/>
      </w:r>
      <w:r w:rsidRPr="00165CC4">
        <w:rPr>
          <w:rFonts w:eastAsiaTheme="minorHAnsi" w:cstheme="minorBidi"/>
          <w:noProof/>
          <w:szCs w:val="22"/>
          <w:lang w:val="en-IE" w:eastAsia="en-US"/>
        </w:rPr>
        <w:t>. Additionally, the Government is working with local and regional authorities on the implementation of the proactive disclosure of 17 compulsory categories of information</w:t>
      </w:r>
      <w:r w:rsidRPr="00165CC4">
        <w:rPr>
          <w:rFonts w:eastAsiaTheme="minorHAnsi" w:cstheme="minorBidi"/>
          <w:noProof/>
          <w:szCs w:val="22"/>
          <w:vertAlign w:val="superscript"/>
          <w:lang w:val="en-IE" w:eastAsia="en-US"/>
        </w:rPr>
        <w:footnoteReference w:id="157"/>
      </w:r>
      <w:r w:rsidRPr="00165CC4">
        <w:rPr>
          <w:rFonts w:eastAsiaTheme="minorHAnsi" w:cstheme="minorBidi"/>
          <w:noProof/>
          <w:szCs w:val="22"/>
          <w:lang w:val="en-IE" w:eastAsia="en-US"/>
        </w:rPr>
        <w:t xml:space="preserve"> and on guidance how authorities should meet their best-efforts obligation when it comes to disclosure, with a focus on meaningful transparency</w:t>
      </w:r>
      <w:r w:rsidRPr="00165CC4">
        <w:rPr>
          <w:rFonts w:eastAsiaTheme="minorHAnsi" w:cstheme="minorBidi"/>
          <w:noProof/>
          <w:szCs w:val="22"/>
          <w:vertAlign w:val="superscript"/>
          <w:lang w:val="en-IE" w:eastAsia="en-US"/>
        </w:rPr>
        <w:footnoteReference w:id="158"/>
      </w:r>
      <w:r w:rsidRPr="00165CC4">
        <w:rPr>
          <w:rFonts w:eastAsiaTheme="minorHAnsi" w:cstheme="minorBidi"/>
          <w:noProof/>
          <w:szCs w:val="22"/>
          <w:lang w:val="en-IE" w:eastAsia="en-US"/>
        </w:rPr>
        <w:t>. The information of all public authorities is made available through a central platform with a search function</w:t>
      </w:r>
      <w:r w:rsidRPr="00165CC4">
        <w:rPr>
          <w:rFonts w:eastAsiaTheme="minorHAnsi" w:cstheme="minorBidi"/>
          <w:noProof/>
          <w:szCs w:val="22"/>
          <w:vertAlign w:val="superscript"/>
          <w:lang w:val="en-IE" w:eastAsia="en-US"/>
        </w:rPr>
        <w:footnoteReference w:id="159"/>
      </w:r>
      <w:r w:rsidRPr="00165CC4">
        <w:rPr>
          <w:rFonts w:eastAsiaTheme="minorHAnsi" w:cstheme="minorBidi"/>
          <w:noProof/>
          <w:szCs w:val="22"/>
          <w:lang w:val="en-IE" w:eastAsia="en-US"/>
        </w:rPr>
        <w:t>. The Government has commissioned an external party to conduct a study to gain better insights into the concrete administrative burden and costs resulting from the Open Government Act</w:t>
      </w:r>
      <w:r w:rsidRPr="00165CC4">
        <w:rPr>
          <w:rFonts w:eastAsiaTheme="minorHAnsi" w:cstheme="minorBidi"/>
          <w:noProof/>
          <w:szCs w:val="22"/>
          <w:vertAlign w:val="superscript"/>
          <w:lang w:val="en-IE" w:eastAsia="en-US"/>
        </w:rPr>
        <w:footnoteReference w:id="160"/>
      </w:r>
      <w:r w:rsidRPr="00165CC4">
        <w:rPr>
          <w:rFonts w:eastAsiaTheme="minorHAnsi" w:cstheme="minorBidi"/>
          <w:noProof/>
          <w:szCs w:val="22"/>
          <w:lang w:val="en-IE" w:eastAsia="en-US"/>
        </w:rPr>
        <w:t>. The results of this study will be published and will serve as the basis for an evaluation of the Act, foreseen to be launched still in 2026</w:t>
      </w:r>
      <w:r w:rsidRPr="00165CC4">
        <w:rPr>
          <w:rFonts w:eastAsiaTheme="minorHAnsi" w:cstheme="minorBidi"/>
          <w:noProof/>
          <w:szCs w:val="22"/>
          <w:vertAlign w:val="superscript"/>
          <w:lang w:val="en-IE" w:eastAsia="en-US"/>
        </w:rPr>
        <w:footnoteReference w:id="161"/>
      </w:r>
      <w:r w:rsidRPr="00165CC4">
        <w:rPr>
          <w:rFonts w:eastAsiaTheme="minorHAnsi" w:cstheme="minorBidi"/>
          <w:noProof/>
          <w:szCs w:val="22"/>
          <w:lang w:val="en-IE" w:eastAsia="en-US"/>
        </w:rPr>
        <w:t>. An improvement highlighted by stakeholders is the possibility to rely on a mediation officer, as part of an independent government office, when the Government is not providing the information</w:t>
      </w:r>
      <w:r w:rsidRPr="00165CC4">
        <w:rPr>
          <w:rFonts w:eastAsiaTheme="minorHAnsi" w:cstheme="minorBidi"/>
          <w:noProof/>
          <w:szCs w:val="22"/>
          <w:vertAlign w:val="superscript"/>
          <w:lang w:val="en-IE" w:eastAsia="en-US"/>
        </w:rPr>
        <w:footnoteReference w:id="162"/>
      </w:r>
      <w:r w:rsidRPr="00165CC4">
        <w:rPr>
          <w:rFonts w:eastAsiaTheme="minorHAnsi" w:cstheme="minorBidi"/>
          <w:noProof/>
          <w:szCs w:val="22"/>
          <w:lang w:val="en-IE" w:eastAsia="en-US"/>
        </w:rPr>
        <w:t xml:space="preserve">. Meanwhile, some concerns remain, notably on the quality of information and delays in processing requests due to multiple legal and political reviews required </w:t>
      </w:r>
      <w:r w:rsidR="003D6452">
        <w:rPr>
          <w:rFonts w:eastAsiaTheme="minorHAnsi" w:cstheme="minorBidi"/>
          <w:noProof/>
          <w:szCs w:val="22"/>
          <w:lang w:val="en-IE" w:eastAsia="en-US"/>
        </w:rPr>
        <w:t>before releasing</w:t>
      </w:r>
      <w:r w:rsidRPr="00165CC4">
        <w:rPr>
          <w:rFonts w:eastAsiaTheme="minorHAnsi" w:cstheme="minorBidi"/>
          <w:noProof/>
          <w:szCs w:val="22"/>
          <w:lang w:val="en-IE" w:eastAsia="en-US"/>
        </w:rPr>
        <w:t xml:space="preserve"> information</w:t>
      </w:r>
      <w:r w:rsidRPr="00165CC4">
        <w:rPr>
          <w:rFonts w:eastAsiaTheme="minorHAnsi" w:cstheme="minorBidi"/>
          <w:noProof/>
          <w:szCs w:val="22"/>
          <w:vertAlign w:val="superscript"/>
          <w:lang w:val="en-IE" w:eastAsia="en-US"/>
        </w:rPr>
        <w:footnoteReference w:id="163"/>
      </w:r>
      <w:r w:rsidRPr="00165CC4">
        <w:rPr>
          <w:rFonts w:eastAsiaTheme="minorHAnsi" w:cstheme="minorBidi"/>
          <w:noProof/>
          <w:szCs w:val="22"/>
          <w:lang w:val="en-IE" w:eastAsia="en-US"/>
        </w:rPr>
        <w:t>. In view of delays in processing requests, an interministerial working group will be launched in the summer of 2026 with the aim of ensuring a more efficient, responsive and verifiable Open Government Act process</w:t>
      </w:r>
      <w:r w:rsidRPr="00165CC4">
        <w:rPr>
          <w:rFonts w:eastAsiaTheme="minorHAnsi" w:cstheme="minorBidi"/>
          <w:noProof/>
          <w:szCs w:val="22"/>
          <w:vertAlign w:val="superscript"/>
          <w:lang w:val="en-IE" w:eastAsia="en-US"/>
        </w:rPr>
        <w:footnoteReference w:id="164"/>
      </w:r>
      <w:r w:rsidRPr="00165CC4">
        <w:rPr>
          <w:rFonts w:eastAsiaTheme="minorHAnsi" w:cstheme="minorBidi"/>
          <w:noProof/>
          <w:szCs w:val="22"/>
          <w:lang w:val="en-IE" w:eastAsia="en-US"/>
        </w:rPr>
        <w:t>.</w:t>
      </w:r>
    </w:p>
    <w:p w14:paraId="779E7A80" w14:textId="77777777" w:rsidR="00165CC4" w:rsidRPr="00165CC4" w:rsidRDefault="00165CC4" w:rsidP="00165CC4">
      <w:pPr>
        <w:rPr>
          <w:rFonts w:eastAsiaTheme="minorHAnsi" w:cstheme="minorBidi"/>
          <w:noProof/>
          <w:szCs w:val="22"/>
          <w:lang w:val="en-IE" w:eastAsia="en-US"/>
        </w:rPr>
      </w:pPr>
      <w:r w:rsidRPr="00165CC4">
        <w:rPr>
          <w:rFonts w:eastAsiaTheme="minorHAnsi" w:cstheme="minorBidi"/>
          <w:b/>
          <w:bCs/>
          <w:noProof/>
          <w:szCs w:val="22"/>
          <w:lang w:val="en-IE" w:eastAsia="en-US"/>
        </w:rPr>
        <w:t>Further steps to ensure the safety of journalists have been taken.</w:t>
      </w:r>
      <w:r w:rsidRPr="00165CC4">
        <w:rPr>
          <w:rFonts w:eastAsiaTheme="minorHAnsi" w:cstheme="minorBidi"/>
          <w:noProof/>
          <w:szCs w:val="22"/>
          <w:lang w:val="en-IE" w:eastAsia="en-US"/>
        </w:rPr>
        <w:t xml:space="preserve"> The PersVeilig</w:t>
      </w:r>
      <w:r w:rsidRPr="00165CC4">
        <w:rPr>
          <w:rFonts w:eastAsiaTheme="minorHAnsi" w:cstheme="minorBidi"/>
          <w:noProof/>
          <w:szCs w:val="22"/>
          <w:vertAlign w:val="superscript"/>
          <w:lang w:val="en-IE" w:eastAsia="en-US"/>
        </w:rPr>
        <w:footnoteReference w:id="165"/>
      </w:r>
      <w:r w:rsidRPr="00165CC4">
        <w:rPr>
          <w:rFonts w:eastAsiaTheme="minorHAnsi" w:cstheme="minorBidi"/>
          <w:noProof/>
          <w:szCs w:val="22"/>
          <w:lang w:val="en-IE" w:eastAsia="en-US"/>
        </w:rPr>
        <w:t xml:space="preserve"> initiative continues to be appreciated by stakeholders</w:t>
      </w:r>
      <w:r w:rsidRPr="00165CC4">
        <w:rPr>
          <w:rFonts w:eastAsiaTheme="minorHAnsi" w:cstheme="minorBidi"/>
          <w:noProof/>
          <w:szCs w:val="22"/>
          <w:vertAlign w:val="superscript"/>
          <w:lang w:val="en-IE" w:eastAsia="en-US"/>
        </w:rPr>
        <w:footnoteReference w:id="166"/>
      </w:r>
      <w:r w:rsidRPr="00165CC4">
        <w:rPr>
          <w:rFonts w:eastAsiaTheme="minorHAnsi" w:cstheme="minorBidi"/>
          <w:noProof/>
          <w:szCs w:val="22"/>
          <w:lang w:val="en-IE" w:eastAsia="en-US"/>
        </w:rPr>
        <w:t xml:space="preserve"> and the Government</w:t>
      </w:r>
      <w:r w:rsidRPr="00165CC4">
        <w:rPr>
          <w:rFonts w:eastAsiaTheme="minorHAnsi" w:cstheme="minorBidi"/>
          <w:noProof/>
          <w:szCs w:val="22"/>
          <w:vertAlign w:val="superscript"/>
          <w:lang w:val="en-IE" w:eastAsia="en-US"/>
        </w:rPr>
        <w:footnoteReference w:id="167"/>
      </w:r>
      <w:r w:rsidRPr="00165CC4">
        <w:rPr>
          <w:rFonts w:eastAsiaTheme="minorHAnsi" w:cstheme="minorBidi"/>
          <w:noProof/>
          <w:szCs w:val="22"/>
          <w:lang w:val="en-IE" w:eastAsia="en-US"/>
        </w:rPr>
        <w:t xml:space="preserve"> as playing an important role in enhancing the safety of journalists, both online and offline. It was given foundation status in 2025 to ensure its sustainability and financing. Its board is comprised of representatives of public service media, publishers and the Dutch Association of Journalists and it receives annual funding from the Ministry of Education, Culture and Science, complemented by employer contributions</w:t>
      </w:r>
      <w:r w:rsidRPr="00165CC4">
        <w:rPr>
          <w:rFonts w:eastAsiaTheme="minorHAnsi" w:cstheme="minorBidi"/>
          <w:noProof/>
          <w:szCs w:val="22"/>
          <w:vertAlign w:val="superscript"/>
          <w:lang w:val="en-IE" w:eastAsia="en-US"/>
        </w:rPr>
        <w:footnoteReference w:id="168"/>
      </w:r>
      <w:r w:rsidRPr="00165CC4">
        <w:rPr>
          <w:rFonts w:eastAsiaTheme="minorHAnsi" w:cstheme="minorBidi"/>
          <w:noProof/>
          <w:szCs w:val="22"/>
          <w:lang w:val="en-IE" w:eastAsia="en-US"/>
        </w:rPr>
        <w:t>. In 2025, journalists reported a total of 262 incidents to PersVeilig, compared to 249 in 2024 and 218 in 2023</w:t>
      </w:r>
      <w:r w:rsidRPr="00165CC4">
        <w:rPr>
          <w:rFonts w:eastAsiaTheme="minorHAnsi" w:cstheme="minorBidi"/>
          <w:noProof/>
          <w:szCs w:val="22"/>
          <w:vertAlign w:val="superscript"/>
          <w:lang w:val="en-IE" w:eastAsia="en-US"/>
        </w:rPr>
        <w:footnoteReference w:id="169"/>
      </w:r>
      <w:r w:rsidRPr="00165CC4">
        <w:rPr>
          <w:rFonts w:eastAsiaTheme="minorHAnsi" w:cstheme="minorBidi"/>
          <w:noProof/>
          <w:szCs w:val="22"/>
          <w:lang w:val="en-IE" w:eastAsia="en-US"/>
        </w:rPr>
        <w:t>.</w:t>
      </w:r>
      <w:r w:rsidRPr="00165CC4" w:rsidDel="00987648">
        <w:rPr>
          <w:rFonts w:eastAsiaTheme="minorHAnsi" w:cstheme="minorBidi"/>
          <w:noProof/>
          <w:szCs w:val="22"/>
          <w:lang w:val="en-IE" w:eastAsia="en-US"/>
        </w:rPr>
        <w:t xml:space="preserve"> </w:t>
      </w:r>
      <w:r w:rsidRPr="00165CC4">
        <w:rPr>
          <w:rFonts w:eastAsiaTheme="minorHAnsi" w:cstheme="minorBidi"/>
          <w:noProof/>
          <w:szCs w:val="22"/>
          <w:lang w:val="en-IE" w:eastAsia="en-US"/>
        </w:rPr>
        <w:t>Since the publication of the 2025 Rule of Law Report, two alerts were registered on the Council of Europe’s Platform concerning assault while reporting</w:t>
      </w:r>
      <w:r w:rsidRPr="00165CC4">
        <w:rPr>
          <w:rFonts w:eastAsiaTheme="minorHAnsi" w:cstheme="minorBidi"/>
          <w:noProof/>
          <w:szCs w:val="22"/>
          <w:vertAlign w:val="superscript"/>
          <w:lang w:val="en-IE" w:eastAsia="en-US"/>
        </w:rPr>
        <w:footnoteReference w:id="170"/>
      </w:r>
      <w:r w:rsidRPr="00165CC4">
        <w:rPr>
          <w:rFonts w:eastAsiaTheme="minorHAnsi" w:cstheme="minorBidi"/>
          <w:noProof/>
          <w:szCs w:val="22"/>
          <w:lang w:val="en-IE" w:eastAsia="en-US"/>
        </w:rPr>
        <w:t>. The Mapping Media Freedom platform has identified 17 alerts</w:t>
      </w:r>
      <w:r w:rsidRPr="00165CC4">
        <w:rPr>
          <w:rFonts w:eastAsiaTheme="minorHAnsi" w:cstheme="minorBidi"/>
          <w:noProof/>
          <w:szCs w:val="22"/>
          <w:vertAlign w:val="superscript"/>
          <w:lang w:val="en-IE" w:eastAsia="en-US"/>
        </w:rPr>
        <w:footnoteReference w:id="171"/>
      </w:r>
      <w:r w:rsidRPr="00165CC4">
        <w:rPr>
          <w:rFonts w:eastAsiaTheme="minorHAnsi" w:cstheme="minorBidi"/>
          <w:noProof/>
          <w:szCs w:val="22"/>
          <w:lang w:val="en-IE" w:eastAsia="en-US"/>
        </w:rPr>
        <w:t>. Some incidents against journalists were also reported during demonstrations</w:t>
      </w:r>
      <w:r w:rsidRPr="00165CC4">
        <w:rPr>
          <w:rFonts w:eastAsiaTheme="minorHAnsi" w:cstheme="minorBidi"/>
          <w:noProof/>
          <w:szCs w:val="22"/>
          <w:vertAlign w:val="superscript"/>
          <w:lang w:val="en-IE" w:eastAsia="en-US"/>
        </w:rPr>
        <w:footnoteReference w:id="172"/>
      </w:r>
      <w:r w:rsidRPr="00165CC4">
        <w:rPr>
          <w:rFonts w:eastAsiaTheme="minorHAnsi" w:cstheme="minorBidi"/>
          <w:noProof/>
          <w:szCs w:val="22"/>
          <w:lang w:val="en-IE" w:eastAsia="en-US"/>
        </w:rPr>
        <w:t>, but were addressed swiftly by the police and the Public Prosecution Service</w:t>
      </w:r>
      <w:r w:rsidRPr="00165CC4">
        <w:rPr>
          <w:rFonts w:eastAsiaTheme="minorHAnsi" w:cstheme="minorBidi"/>
          <w:noProof/>
          <w:szCs w:val="22"/>
          <w:vertAlign w:val="superscript"/>
          <w:lang w:val="en-IE" w:eastAsia="en-US"/>
        </w:rPr>
        <w:footnoteReference w:id="173"/>
      </w:r>
      <w:r w:rsidRPr="00165CC4">
        <w:rPr>
          <w:rFonts w:eastAsiaTheme="minorHAnsi" w:cstheme="minorBidi"/>
          <w:noProof/>
          <w:szCs w:val="22"/>
          <w:lang w:val="en-IE" w:eastAsia="en-US"/>
        </w:rPr>
        <w:t>. Stakeholders raised concerns about political pressure, intimidation and the hardening political rhetoric towards journalists</w:t>
      </w:r>
      <w:r w:rsidRPr="00165CC4">
        <w:rPr>
          <w:rFonts w:eastAsiaTheme="minorHAnsi" w:cstheme="minorBidi"/>
          <w:noProof/>
          <w:szCs w:val="22"/>
          <w:vertAlign w:val="superscript"/>
          <w:lang w:val="en-IE" w:eastAsia="en-US"/>
        </w:rPr>
        <w:footnoteReference w:id="174"/>
      </w:r>
      <w:r w:rsidRPr="00165CC4">
        <w:rPr>
          <w:rFonts w:eastAsiaTheme="minorHAnsi" w:cstheme="minorBidi"/>
          <w:noProof/>
          <w:szCs w:val="22"/>
          <w:lang w:val="en-IE" w:eastAsia="en-US"/>
        </w:rPr>
        <w:t>. They highlighted that this environment could create a chilling effect and ultimately affect press freedom, discouraging journalists from covering certain topics or expressing critical views. In a letter addressed to the relevant ministers, stakeholders called for politicians to be held accountable for remarks that call into question the independence and integrity of the media and interfere with editorial independence and media freedom</w:t>
      </w:r>
      <w:r w:rsidRPr="00165CC4">
        <w:rPr>
          <w:rFonts w:eastAsiaTheme="minorHAnsi" w:cstheme="minorBidi"/>
          <w:noProof/>
          <w:szCs w:val="22"/>
          <w:vertAlign w:val="superscript"/>
          <w:lang w:val="en-IE" w:eastAsia="en-US"/>
        </w:rPr>
        <w:footnoteReference w:id="175"/>
      </w:r>
      <w:r w:rsidRPr="00165CC4">
        <w:rPr>
          <w:rFonts w:eastAsiaTheme="minorHAnsi" w:cstheme="minorBidi"/>
          <w:noProof/>
          <w:szCs w:val="22"/>
          <w:lang w:val="en-IE" w:eastAsia="en-US"/>
        </w:rPr>
        <w:t>. Enforcement against online threats against journalists is considered another pressing issue</w:t>
      </w:r>
      <w:r w:rsidRPr="00165CC4">
        <w:rPr>
          <w:rFonts w:eastAsiaTheme="minorHAnsi" w:cstheme="minorBidi"/>
          <w:noProof/>
          <w:szCs w:val="22"/>
          <w:vertAlign w:val="superscript"/>
          <w:lang w:val="en-IE" w:eastAsia="en-US"/>
        </w:rPr>
        <w:footnoteReference w:id="176"/>
      </w:r>
      <w:r w:rsidRPr="00165CC4">
        <w:rPr>
          <w:rFonts w:eastAsiaTheme="minorHAnsi" w:cstheme="minorBidi"/>
          <w:noProof/>
          <w:szCs w:val="22"/>
          <w:lang w:val="en-IE" w:eastAsia="en-US"/>
        </w:rPr>
        <w:t>. While SLAPPs are not seen as a systemic issue, concerns persist about their potential impact, and a full assessment is challenging due to limited reporting mechanisms</w:t>
      </w:r>
      <w:r w:rsidRPr="00165CC4">
        <w:rPr>
          <w:rFonts w:eastAsiaTheme="minorHAnsi" w:cstheme="minorBidi"/>
          <w:noProof/>
          <w:szCs w:val="22"/>
          <w:vertAlign w:val="superscript"/>
          <w:lang w:val="en-IE" w:eastAsia="en-US"/>
        </w:rPr>
        <w:footnoteReference w:id="177"/>
      </w:r>
      <w:r w:rsidRPr="00165CC4">
        <w:rPr>
          <w:rFonts w:eastAsiaTheme="minorHAnsi" w:cstheme="minorBidi"/>
          <w:noProof/>
          <w:szCs w:val="22"/>
          <w:lang w:val="en-IE" w:eastAsia="en-US"/>
        </w:rPr>
        <w:t>. The Government continues to work on the draft</w:t>
      </w:r>
      <w:r w:rsidRPr="00165CC4" w:rsidDel="00597317">
        <w:rPr>
          <w:rFonts w:eastAsiaTheme="minorHAnsi" w:cstheme="minorBidi"/>
          <w:noProof/>
          <w:szCs w:val="22"/>
          <w:lang w:val="en-IE" w:eastAsia="en-US"/>
        </w:rPr>
        <w:t xml:space="preserve"> </w:t>
      </w:r>
      <w:r w:rsidRPr="00165CC4">
        <w:rPr>
          <w:rFonts w:eastAsiaTheme="minorHAnsi" w:cstheme="minorBidi"/>
          <w:noProof/>
          <w:szCs w:val="22"/>
          <w:lang w:val="en-IE" w:eastAsia="en-US"/>
        </w:rPr>
        <w:t>law aiming to transpose the anti-SLAPP Directive, scheduled for plenary debate in the House of Representatives in June 2026</w:t>
      </w:r>
      <w:r w:rsidRPr="00165CC4">
        <w:rPr>
          <w:rFonts w:eastAsiaTheme="minorHAnsi" w:cstheme="minorBidi"/>
          <w:noProof/>
          <w:szCs w:val="22"/>
          <w:vertAlign w:val="superscript"/>
          <w:lang w:val="en-IE" w:eastAsia="en-US"/>
        </w:rPr>
        <w:footnoteReference w:id="178"/>
      </w:r>
      <w:r w:rsidRPr="00165CC4">
        <w:rPr>
          <w:rFonts w:eastAsiaTheme="minorHAnsi" w:cstheme="minorBidi"/>
          <w:noProof/>
          <w:szCs w:val="22"/>
          <w:lang w:val="en-IE" w:eastAsia="en-US"/>
        </w:rPr>
        <w:t>. Stakeholders called for an extension of the scope to cover both cross-border and domestic cases</w:t>
      </w:r>
      <w:r w:rsidRPr="00165CC4">
        <w:rPr>
          <w:rFonts w:eastAsiaTheme="minorHAnsi" w:cs="Arial"/>
          <w:noProof/>
          <w:szCs w:val="22"/>
          <w:vertAlign w:val="superscript"/>
          <w:lang w:val="en-IE" w:eastAsia="en-US"/>
        </w:rPr>
        <w:footnoteReference w:id="179"/>
      </w:r>
      <w:r w:rsidRPr="00165CC4">
        <w:rPr>
          <w:rFonts w:eastAsiaTheme="minorHAnsi" w:cstheme="minorBidi"/>
          <w:noProof/>
          <w:szCs w:val="22"/>
          <w:lang w:val="en-IE" w:eastAsia="en-US"/>
        </w:rPr>
        <w:t xml:space="preserve">. </w:t>
      </w:r>
    </w:p>
    <w:p w14:paraId="15CE8739" w14:textId="77777777" w:rsidR="00165CC4" w:rsidRPr="001B6B6F" w:rsidRDefault="00165CC4" w:rsidP="001F33CC">
      <w:pPr>
        <w:pStyle w:val="ListParagraph"/>
        <w:keepNext/>
        <w:numPr>
          <w:ilvl w:val="0"/>
          <w:numId w:val="47"/>
        </w:numPr>
        <w:outlineLvl w:val="0"/>
        <w:rPr>
          <w:b/>
          <w:smallCaps/>
          <w:noProof/>
          <w:szCs w:val="24"/>
          <w:u w:val="single"/>
          <w:lang w:val="en-IE" w:eastAsia="fr-FR"/>
        </w:rPr>
      </w:pPr>
      <w:r w:rsidRPr="001B6B6F">
        <w:rPr>
          <w:b/>
          <w:smallCaps/>
          <w:noProof/>
          <w:szCs w:val="24"/>
          <w:u w:val="single"/>
          <w:lang w:val="en-IE" w:eastAsia="fr-FR"/>
        </w:rPr>
        <w:t>Other Institutional Issues related to Checks and Balances</w:t>
      </w:r>
    </w:p>
    <w:p w14:paraId="2F265FF6" w14:textId="3FB4E646" w:rsidR="00165CC4" w:rsidRPr="00165CC4" w:rsidRDefault="00165CC4" w:rsidP="00165CC4">
      <w:pPr>
        <w:rPr>
          <w:rFonts w:eastAsiaTheme="minorEastAsia" w:cstheme="minorBidi"/>
          <w:noProof/>
          <w:szCs w:val="22"/>
          <w:lang w:val="en-IE" w:eastAsia="en-US"/>
        </w:rPr>
      </w:pPr>
      <w:r w:rsidRPr="00165CC4">
        <w:rPr>
          <w:b/>
          <w:noProof/>
          <w:szCs w:val="22"/>
          <w:lang w:val="en-IE" w:eastAsia="fr-FR"/>
        </w:rPr>
        <w:t>Some further progress was made on the recommendation to take forward the proposals of the State Commission on Rule of Law to strengthen a rule of law culture</w:t>
      </w:r>
      <w:r w:rsidRPr="00165CC4">
        <w:rPr>
          <w:b/>
          <w:noProof/>
          <w:szCs w:val="22"/>
          <w:vertAlign w:val="superscript"/>
          <w:lang w:val="en-IE" w:eastAsia="fr-FR"/>
        </w:rPr>
        <w:footnoteReference w:id="180"/>
      </w:r>
      <w:r w:rsidRPr="00165CC4">
        <w:rPr>
          <w:b/>
          <w:noProof/>
          <w:szCs w:val="22"/>
          <w:lang w:val="en-IE" w:eastAsia="fr-FR"/>
        </w:rPr>
        <w:t xml:space="preserve">. </w:t>
      </w:r>
      <w:r w:rsidRPr="00165CC4">
        <w:rPr>
          <w:rFonts w:eastAsiaTheme="minorEastAsia" w:cstheme="minorBidi"/>
          <w:noProof/>
          <w:szCs w:val="22"/>
          <w:lang w:val="en-IE" w:eastAsia="en-US"/>
        </w:rPr>
        <w:t>The proposals of the State Commission date from June 2024 and notably cover the strengthening of a rule of law culture among Government officials, politicians and civil servants, enhanced access to information and justice for citizens, further possibilities for constitutional review of legislation and significant investments in the judiciary and legal aid</w:t>
      </w:r>
      <w:r w:rsidRPr="00165CC4">
        <w:rPr>
          <w:rFonts w:eastAsiaTheme="minorEastAsia" w:cstheme="minorBidi"/>
          <w:noProof/>
          <w:szCs w:val="22"/>
          <w:vertAlign w:val="superscript"/>
          <w:lang w:val="en-IE" w:eastAsia="en-US"/>
        </w:rPr>
        <w:footnoteReference w:id="181"/>
      </w:r>
      <w:r w:rsidRPr="00165CC4">
        <w:rPr>
          <w:rFonts w:eastAsiaTheme="minorEastAsia" w:cstheme="minorBidi"/>
          <w:noProof/>
          <w:szCs w:val="22"/>
          <w:lang w:val="en-IE" w:eastAsia="en-US"/>
        </w:rPr>
        <w:t>. Concrete developments have taken place on several of these proposals. The Spring budget of the Government allocates up to EUR 75 million annually by 2030 for strengthening the rule of law in the Netherlands, for example by improving access to justice and citizenship education</w:t>
      </w:r>
      <w:r w:rsidRPr="00165CC4">
        <w:rPr>
          <w:rFonts w:eastAsiaTheme="minorEastAsia" w:cstheme="minorBidi"/>
          <w:noProof/>
          <w:szCs w:val="22"/>
          <w:vertAlign w:val="superscript"/>
          <w:lang w:val="en-IE" w:eastAsia="en-US"/>
        </w:rPr>
        <w:footnoteReference w:id="182"/>
      </w:r>
      <w:r w:rsidRPr="00165CC4">
        <w:rPr>
          <w:rFonts w:eastAsiaTheme="minorEastAsia" w:cstheme="minorBidi"/>
          <w:noProof/>
          <w:szCs w:val="22"/>
          <w:lang w:val="en-IE" w:eastAsia="en-US"/>
        </w:rPr>
        <w:t>. In 2025, a kick-off meeting for a structured dialogue between State powers to discuss rule of law matters took place, chaired by the Speaker of the Senate. The next rule of law dialogue is scheduled for 7 September 2026 in the context of the “Rule of Law week”</w:t>
      </w:r>
      <w:r w:rsidRPr="00165CC4">
        <w:rPr>
          <w:rFonts w:eastAsiaTheme="minorEastAsia" w:cstheme="minorBidi"/>
          <w:noProof/>
          <w:szCs w:val="22"/>
          <w:vertAlign w:val="superscript"/>
          <w:lang w:val="en-IE" w:eastAsia="en-US"/>
        </w:rPr>
        <w:footnoteReference w:id="183"/>
      </w:r>
      <w:r w:rsidRPr="00165CC4">
        <w:rPr>
          <w:rFonts w:eastAsiaTheme="minorEastAsia" w:cstheme="minorBidi"/>
          <w:noProof/>
          <w:szCs w:val="22"/>
          <w:lang w:val="en-IE" w:eastAsia="en-US"/>
        </w:rPr>
        <w:t>. The Government is reflecting on setting up a permanent secretariat for the dialogue</w:t>
      </w:r>
      <w:r w:rsidRPr="00165CC4">
        <w:rPr>
          <w:rFonts w:eastAsiaTheme="minorEastAsia" w:cstheme="minorBidi"/>
          <w:noProof/>
          <w:szCs w:val="22"/>
          <w:vertAlign w:val="superscript"/>
          <w:lang w:val="en-IE" w:eastAsia="en-US"/>
        </w:rPr>
        <w:footnoteReference w:id="184"/>
      </w:r>
      <w:r w:rsidRPr="00165CC4">
        <w:rPr>
          <w:rFonts w:eastAsiaTheme="minorEastAsia" w:cstheme="minorBidi"/>
          <w:noProof/>
          <w:szCs w:val="22"/>
          <w:lang w:val="en-IE" w:eastAsia="en-US"/>
        </w:rPr>
        <w:t>. In October 2025, the House of Representatives decided to keep the Temporary Committee on Human Rights and Constitutional Review in place</w:t>
      </w:r>
      <w:r w:rsidRPr="00165CC4">
        <w:rPr>
          <w:rFonts w:eastAsiaTheme="minorEastAsia" w:cstheme="minorBidi"/>
          <w:noProof/>
          <w:szCs w:val="22"/>
          <w:vertAlign w:val="superscript"/>
          <w:lang w:val="en-IE" w:eastAsia="en-US"/>
        </w:rPr>
        <w:footnoteReference w:id="185"/>
      </w:r>
      <w:r w:rsidRPr="00165CC4">
        <w:rPr>
          <w:rFonts w:eastAsiaTheme="minorEastAsia" w:cstheme="minorBidi"/>
          <w:noProof/>
          <w:szCs w:val="22"/>
          <w:lang w:val="en-IE" w:eastAsia="en-US"/>
        </w:rPr>
        <w:t xml:space="preserve">. </w:t>
      </w:r>
      <w:r w:rsidRPr="00165CC4">
        <w:rPr>
          <w:noProof/>
          <w:szCs w:val="22"/>
          <w:lang w:val="en-IE" w:eastAsia="fr-FR"/>
        </w:rPr>
        <w:t xml:space="preserve">While the restructuring of the Administrative Jurisdiction Division of the Council of State is not under consideration anymore, the Council of State is exchanging with the Government to formally enshrine the </w:t>
      </w:r>
      <w:r w:rsidRPr="00165CC4">
        <w:rPr>
          <w:i/>
          <w:noProof/>
          <w:szCs w:val="22"/>
          <w:lang w:val="en-IE" w:eastAsia="fr-FR"/>
        </w:rPr>
        <w:t>de facto</w:t>
      </w:r>
      <w:r w:rsidRPr="00165CC4">
        <w:rPr>
          <w:noProof/>
          <w:szCs w:val="22"/>
          <w:lang w:val="en-IE" w:eastAsia="fr-FR"/>
        </w:rPr>
        <w:t xml:space="preserve"> independence of the Administrative Jurisdiction Division in legislation</w:t>
      </w:r>
      <w:r w:rsidRPr="00165CC4">
        <w:rPr>
          <w:noProof/>
          <w:szCs w:val="22"/>
          <w:vertAlign w:val="superscript"/>
          <w:lang w:val="en-IE" w:eastAsia="fr-FR"/>
        </w:rPr>
        <w:footnoteReference w:id="186"/>
      </w:r>
      <w:r w:rsidRPr="00165CC4">
        <w:rPr>
          <w:noProof/>
          <w:szCs w:val="22"/>
          <w:lang w:val="en-IE" w:eastAsia="fr-FR"/>
        </w:rPr>
        <w:t>. The Netherlands Bar Association and the Council for the Judiciary observe that in several legislative initiatives, procedural safeguards are being weakened, including by abolishing one level of judicial review in the standard two-stage administrative law appeal procedures</w:t>
      </w:r>
      <w:r w:rsidRPr="00165CC4">
        <w:rPr>
          <w:noProof/>
          <w:szCs w:val="22"/>
          <w:vertAlign w:val="superscript"/>
          <w:lang w:val="en-IE" w:eastAsia="fr-FR"/>
        </w:rPr>
        <w:footnoteReference w:id="187"/>
      </w:r>
      <w:r w:rsidRPr="00165CC4">
        <w:rPr>
          <w:noProof/>
          <w:szCs w:val="22"/>
          <w:lang w:val="en-IE" w:eastAsia="fr-FR"/>
        </w:rPr>
        <w:t xml:space="preserve">. </w:t>
      </w:r>
      <w:r w:rsidRPr="00165CC4">
        <w:rPr>
          <w:rFonts w:eastAsiaTheme="minorEastAsia" w:cstheme="minorBidi"/>
          <w:noProof/>
          <w:szCs w:val="22"/>
          <w:lang w:val="en-IE" w:eastAsia="en-US"/>
        </w:rPr>
        <w:t xml:space="preserve">Overall, there has been some further progress on this recommendation. </w:t>
      </w:r>
    </w:p>
    <w:p w14:paraId="6E3C3A6E" w14:textId="5EF1468A" w:rsidR="00165CC4" w:rsidRPr="00165CC4" w:rsidRDefault="00165CC4" w:rsidP="00165CC4">
      <w:pPr>
        <w:rPr>
          <w:rFonts w:eastAsia="Calibri"/>
          <w:noProof/>
          <w:szCs w:val="22"/>
          <w:lang w:val="en-IE" w:eastAsia="en-US"/>
          <w14:ligatures w14:val="standardContextual"/>
        </w:rPr>
      </w:pPr>
      <w:r w:rsidRPr="00165CC4">
        <w:rPr>
          <w:b/>
          <w:bCs/>
          <w:noProof/>
          <w:szCs w:val="22"/>
          <w:lang w:val="en-IE" w:eastAsia="fr-FR"/>
        </w:rPr>
        <w:t xml:space="preserve">More than two thirds of companies surveyed in the Netherlands express confidence in the effectiveness of investment protection. </w:t>
      </w:r>
      <w:r w:rsidRPr="00165CC4">
        <w:rPr>
          <w:rFonts w:eastAsia="Calibri"/>
          <w:noProof/>
          <w:szCs w:val="22"/>
          <w:lang w:val="en-IE" w:eastAsia="en-US"/>
        </w:rPr>
        <w:t>71</w:t>
      </w:r>
      <w:r w:rsidR="00624AD1">
        <w:rPr>
          <w:rFonts w:eastAsia="Calibri"/>
          <w:noProof/>
          <w:szCs w:val="22"/>
          <w:lang w:val="en-IE" w:eastAsia="en-US"/>
        </w:rPr>
        <w:t> </w:t>
      </w:r>
      <w:r w:rsidRPr="00165CC4">
        <w:rPr>
          <w:rFonts w:eastAsia="Calibri"/>
          <w:noProof/>
          <w:szCs w:val="22"/>
          <w:lang w:val="en-IE" w:eastAsia="en-US"/>
        </w:rPr>
        <w:t>% of companies are very or fairly confident that investments are protected by law and courts, a figure which has slightly increased in comparison with 2025 (68</w:t>
      </w:r>
      <w:r w:rsidR="00624AD1">
        <w:rPr>
          <w:rFonts w:eastAsia="Calibri"/>
          <w:noProof/>
          <w:szCs w:val="22"/>
          <w:lang w:val="en-IE" w:eastAsia="en-US"/>
        </w:rPr>
        <w:t> </w:t>
      </w:r>
      <w:r w:rsidRPr="00165CC4">
        <w:rPr>
          <w:rFonts w:eastAsia="Calibri"/>
          <w:noProof/>
          <w:szCs w:val="22"/>
          <w:lang w:val="en-IE" w:eastAsia="en-US"/>
        </w:rPr>
        <w:t>%)</w:t>
      </w:r>
      <w:r w:rsidRPr="00165CC4">
        <w:rPr>
          <w:rFonts w:eastAsia="Calibri"/>
          <w:noProof/>
          <w:szCs w:val="22"/>
          <w:vertAlign w:val="superscript"/>
          <w:lang w:val="en-IE" w:eastAsia="en-US"/>
        </w:rPr>
        <w:footnoteReference w:id="188"/>
      </w:r>
      <w:r w:rsidRPr="00165CC4">
        <w:rPr>
          <w:rFonts w:eastAsia="Calibri"/>
          <w:noProof/>
          <w:szCs w:val="22"/>
          <w:lang w:val="en-IE" w:eastAsia="en-US"/>
        </w:rPr>
        <w:t>. As regards authorities relevant for economic operators 67</w:t>
      </w:r>
      <w:r w:rsidR="00624AD1">
        <w:rPr>
          <w:rFonts w:eastAsia="Calibri"/>
          <w:noProof/>
          <w:szCs w:val="22"/>
          <w:lang w:val="en-IE" w:eastAsia="en-US"/>
        </w:rPr>
        <w:t> </w:t>
      </w:r>
      <w:r w:rsidRPr="00165CC4">
        <w:rPr>
          <w:rFonts w:eastAsia="Calibri"/>
          <w:noProof/>
          <w:szCs w:val="22"/>
          <w:lang w:val="en-IE" w:eastAsia="en-US"/>
        </w:rPr>
        <w:t>% of companies perceive the level of independence of the national competition authority (</w:t>
      </w:r>
      <w:r w:rsidRPr="00165CC4">
        <w:rPr>
          <w:noProof/>
          <w:szCs w:val="22"/>
          <w:lang w:val="en-IE" w:eastAsia="en-IE"/>
        </w:rPr>
        <w:t>the Authority for Consumers and Markets</w:t>
      </w:r>
      <w:r w:rsidRPr="00165CC4">
        <w:rPr>
          <w:rFonts w:eastAsia="Calibri"/>
          <w:noProof/>
          <w:szCs w:val="22"/>
          <w:lang w:val="en-IE" w:eastAsia="en-US"/>
        </w:rPr>
        <w:t>) as very or fairly good, a figure which has significantly decreased in comparison with 2025 (75</w:t>
      </w:r>
      <w:r w:rsidR="00624AD1">
        <w:rPr>
          <w:rFonts w:eastAsia="Calibri"/>
          <w:noProof/>
          <w:szCs w:val="22"/>
          <w:lang w:val="en-IE" w:eastAsia="en-US"/>
        </w:rPr>
        <w:t> </w:t>
      </w:r>
      <w:r w:rsidRPr="00165CC4">
        <w:rPr>
          <w:rFonts w:eastAsia="Calibri"/>
          <w:noProof/>
          <w:szCs w:val="22"/>
          <w:lang w:val="en-IE" w:eastAsia="en-US"/>
        </w:rPr>
        <w:t>%)</w:t>
      </w:r>
      <w:r w:rsidRPr="00165CC4">
        <w:rPr>
          <w:rFonts w:eastAsia="Calibri"/>
          <w:noProof/>
          <w:szCs w:val="22"/>
          <w:vertAlign w:val="superscript"/>
          <w:lang w:val="en-IE" w:eastAsia="en-US"/>
        </w:rPr>
        <w:footnoteReference w:id="189"/>
      </w:r>
      <w:r w:rsidRPr="00165CC4">
        <w:rPr>
          <w:rFonts w:eastAsia="Calibri"/>
          <w:noProof/>
          <w:szCs w:val="22"/>
          <w:lang w:val="en-IE" w:eastAsia="en-US"/>
        </w:rPr>
        <w:t xml:space="preserve">. </w:t>
      </w:r>
      <w:r w:rsidRPr="00165CC4">
        <w:rPr>
          <w:rFonts w:eastAsia="Calibri"/>
          <w:noProof/>
          <w:szCs w:val="22"/>
          <w:lang w:val="en-IE" w:eastAsia="en-US"/>
          <w14:ligatures w14:val="standardContextual"/>
        </w:rPr>
        <w:t>The Council of State has jurisdiction in some business-related cases, including in cases related to public concessions and economic regulation. A number of judicial mechanisms to improve efficiency are available in these cases, including the possibility to apply interim measures, joint examination of similar cases and the consolidation of multiple appeals</w:t>
      </w:r>
      <w:r w:rsidRPr="00165CC4">
        <w:rPr>
          <w:rFonts w:eastAsia="Calibri"/>
          <w:noProof/>
          <w:szCs w:val="22"/>
          <w:vertAlign w:val="superscript"/>
          <w:lang w:val="en-IE" w:eastAsia="en-US"/>
          <w14:ligatures w14:val="standardContextual"/>
        </w:rPr>
        <w:footnoteReference w:id="190"/>
      </w:r>
      <w:r w:rsidRPr="00165CC4">
        <w:rPr>
          <w:rFonts w:eastAsia="Calibri"/>
          <w:noProof/>
          <w:szCs w:val="22"/>
          <w:lang w:val="en-IE" w:eastAsia="en-US"/>
          <w14:ligatures w14:val="standardContextual"/>
        </w:rPr>
        <w:t>.</w:t>
      </w:r>
    </w:p>
    <w:p w14:paraId="179A748A" w14:textId="5A97357C" w:rsidR="00165CC4" w:rsidRPr="00165CC4" w:rsidRDefault="00165CC4" w:rsidP="00165CC4">
      <w:pPr>
        <w:rPr>
          <w:rFonts w:eastAsiaTheme="minorHAnsi"/>
          <w:b/>
          <w:bCs/>
          <w:noProof/>
          <w:szCs w:val="22"/>
          <w:lang w:val="en-IE" w:eastAsia="en-US"/>
        </w:rPr>
      </w:pPr>
      <w:r w:rsidRPr="00165CC4">
        <w:rPr>
          <w:rFonts w:eastAsiaTheme="minorHAnsi"/>
          <w:b/>
          <w:bCs/>
          <w:noProof/>
          <w:szCs w:val="22"/>
          <w:lang w:val="en-IE" w:eastAsia="en-US"/>
        </w:rPr>
        <w:t xml:space="preserve">On 1 January 2026, the Netherlands had 11 leading judgments of the European Court of Human Rights pending implementation, an </w:t>
      </w:r>
      <w:r w:rsidRPr="00165CC4">
        <w:rPr>
          <w:rFonts w:eastAsiaTheme="minorHAnsi"/>
          <w:b/>
          <w:noProof/>
          <w:szCs w:val="22"/>
          <w:lang w:val="en-IE" w:eastAsia="en-US"/>
        </w:rPr>
        <w:t>increase</w:t>
      </w:r>
      <w:r w:rsidRPr="00165CC4">
        <w:rPr>
          <w:rFonts w:eastAsiaTheme="minorHAnsi"/>
          <w:b/>
          <w:bCs/>
          <w:noProof/>
          <w:szCs w:val="22"/>
          <w:lang w:val="en-IE" w:eastAsia="en-US"/>
        </w:rPr>
        <w:t xml:space="preserve"> of 4 compared to the previous year</w:t>
      </w:r>
      <w:r w:rsidRPr="00165CC4">
        <w:rPr>
          <w:rFonts w:eastAsiaTheme="minorHAnsi"/>
          <w:b/>
          <w:bCs/>
          <w:noProof/>
          <w:szCs w:val="22"/>
          <w:vertAlign w:val="superscript"/>
          <w:lang w:val="en-IE" w:eastAsia="en-US"/>
        </w:rPr>
        <w:footnoteReference w:id="191"/>
      </w:r>
      <w:r w:rsidRPr="00165CC4">
        <w:rPr>
          <w:rFonts w:eastAsiaTheme="minorHAnsi"/>
          <w:b/>
          <w:bCs/>
          <w:noProof/>
          <w:szCs w:val="22"/>
          <w:lang w:val="en-IE" w:eastAsia="en-US"/>
        </w:rPr>
        <w:t xml:space="preserve">. </w:t>
      </w:r>
      <w:r w:rsidRPr="00165CC4">
        <w:rPr>
          <w:rFonts w:eastAsiaTheme="minorHAnsi"/>
          <w:noProof/>
          <w:szCs w:val="22"/>
          <w:lang w:val="en-IE" w:eastAsia="en-US"/>
        </w:rPr>
        <w:t>At that time, the Netherlands’ rate of leading judgments from the past 10 years that had been implemented was at</w:t>
      </w:r>
      <w:r w:rsidRPr="00165CC4" w:rsidDel="00026843">
        <w:rPr>
          <w:rFonts w:eastAsiaTheme="minorHAnsi"/>
          <w:noProof/>
          <w:szCs w:val="22"/>
          <w:lang w:val="en-IE" w:eastAsia="en-US"/>
        </w:rPr>
        <w:t xml:space="preserve"> </w:t>
      </w:r>
      <w:r w:rsidRPr="00165CC4">
        <w:rPr>
          <w:rFonts w:eastAsiaTheme="minorHAnsi"/>
          <w:noProof/>
          <w:szCs w:val="22"/>
          <w:lang w:val="en-IE" w:eastAsia="en-US"/>
        </w:rPr>
        <w:t>45</w:t>
      </w:r>
      <w:r w:rsidR="00624AD1">
        <w:rPr>
          <w:rFonts w:eastAsiaTheme="minorHAnsi"/>
          <w:noProof/>
          <w:szCs w:val="22"/>
          <w:lang w:val="en-IE" w:eastAsia="en-US"/>
        </w:rPr>
        <w:t> </w:t>
      </w:r>
      <w:r w:rsidRPr="00165CC4">
        <w:rPr>
          <w:rFonts w:eastAsiaTheme="minorHAnsi"/>
          <w:noProof/>
          <w:szCs w:val="22"/>
          <w:lang w:val="en-IE" w:eastAsia="en-US"/>
        </w:rPr>
        <w:t>% (compared to 59</w:t>
      </w:r>
      <w:r w:rsidR="00624AD1">
        <w:rPr>
          <w:rFonts w:eastAsiaTheme="minorHAnsi"/>
          <w:noProof/>
          <w:szCs w:val="22"/>
          <w:lang w:val="en-IE" w:eastAsia="en-US"/>
        </w:rPr>
        <w:t> </w:t>
      </w:r>
      <w:r w:rsidRPr="00165CC4">
        <w:rPr>
          <w:rFonts w:eastAsiaTheme="minorHAnsi"/>
          <w:noProof/>
          <w:szCs w:val="22"/>
          <w:lang w:val="en-IE" w:eastAsia="en-US"/>
        </w:rPr>
        <w:t>% in 2025; 55</w:t>
      </w:r>
      <w:r w:rsidR="00624AD1">
        <w:rPr>
          <w:rFonts w:eastAsiaTheme="minorHAnsi"/>
          <w:noProof/>
          <w:szCs w:val="22"/>
          <w:lang w:val="en-IE" w:eastAsia="en-US"/>
        </w:rPr>
        <w:t> </w:t>
      </w:r>
      <w:r w:rsidRPr="00165CC4">
        <w:rPr>
          <w:rFonts w:eastAsiaTheme="minorHAnsi"/>
          <w:noProof/>
          <w:szCs w:val="22"/>
          <w:lang w:val="en-IE" w:eastAsia="en-US"/>
        </w:rPr>
        <w:t>% remained pending), and the average time that the judgments had been pending implementation was 2 years and 11 months (compared to 3 years and 2 months in 2025)</w:t>
      </w:r>
      <w:r w:rsidRPr="00165CC4">
        <w:rPr>
          <w:rFonts w:eastAsiaTheme="minorHAnsi"/>
          <w:noProof/>
          <w:szCs w:val="22"/>
          <w:vertAlign w:val="superscript"/>
          <w:lang w:val="en-IE" w:eastAsia="en-US"/>
        </w:rPr>
        <w:footnoteReference w:id="192"/>
      </w:r>
      <w:r w:rsidRPr="00165CC4">
        <w:rPr>
          <w:rFonts w:eastAsiaTheme="minorHAnsi"/>
          <w:noProof/>
          <w:szCs w:val="22"/>
          <w:lang w:val="en-IE" w:eastAsia="en-US"/>
        </w:rPr>
        <w:t>. The oldest leading judgment has been pending implementation for 10 years</w:t>
      </w:r>
      <w:r w:rsidRPr="00165CC4">
        <w:rPr>
          <w:rFonts w:eastAsiaTheme="minorHAnsi"/>
          <w:noProof/>
          <w:szCs w:val="22"/>
          <w:vertAlign w:val="superscript"/>
          <w:lang w:val="en-IE" w:eastAsia="en-US"/>
        </w:rPr>
        <w:footnoteReference w:id="193"/>
      </w:r>
      <w:r w:rsidRPr="00165CC4">
        <w:rPr>
          <w:rFonts w:eastAsiaTheme="minorHAnsi"/>
          <w:noProof/>
          <w:szCs w:val="22"/>
          <w:lang w:val="en-IE" w:eastAsia="en-US"/>
        </w:rPr>
        <w:t>.</w:t>
      </w:r>
      <w:r w:rsidRPr="00165CC4">
        <w:rPr>
          <w:rFonts w:eastAsiaTheme="minorHAnsi"/>
          <w:b/>
          <w:noProof/>
          <w:szCs w:val="22"/>
          <w:lang w:val="en-IE" w:eastAsia="en-US"/>
        </w:rPr>
        <w:t xml:space="preserve"> </w:t>
      </w:r>
      <w:r w:rsidRPr="00165CC4">
        <w:rPr>
          <w:rFonts w:eastAsiaTheme="minorHAnsi"/>
          <w:noProof/>
          <w:szCs w:val="22"/>
          <w:lang w:val="en-IE" w:eastAsia="en-US"/>
        </w:rPr>
        <w:t>As regards the respect of payment deadlines, on 31 December 2025 there were no cases awaiting confirmation of payments (same as in 2024)</w:t>
      </w:r>
      <w:r w:rsidRPr="00165CC4">
        <w:rPr>
          <w:rFonts w:eastAsiaTheme="minorHAnsi"/>
          <w:noProof/>
          <w:szCs w:val="22"/>
          <w:vertAlign w:val="superscript"/>
          <w:lang w:val="en-IE" w:eastAsia="en-US"/>
        </w:rPr>
        <w:footnoteReference w:id="194"/>
      </w:r>
      <w:r w:rsidRPr="00165CC4">
        <w:rPr>
          <w:rFonts w:eastAsiaTheme="minorHAnsi"/>
          <w:noProof/>
          <w:szCs w:val="22"/>
          <w:lang w:val="en-IE" w:eastAsia="en-US"/>
        </w:rPr>
        <w:t>.</w:t>
      </w:r>
      <w:r w:rsidRPr="00165CC4">
        <w:rPr>
          <w:rFonts w:eastAsiaTheme="minorHAnsi"/>
          <w:b/>
          <w:bCs/>
          <w:noProof/>
          <w:szCs w:val="22"/>
          <w:lang w:val="en-IE" w:eastAsia="en-US"/>
        </w:rPr>
        <w:t xml:space="preserve"> </w:t>
      </w:r>
      <w:r w:rsidRPr="00165CC4">
        <w:rPr>
          <w:rFonts w:eastAsiaTheme="minorHAnsi"/>
          <w:noProof/>
          <w:szCs w:val="22"/>
          <w:lang w:val="en-IE" w:eastAsia="en-US"/>
        </w:rPr>
        <w:t xml:space="preserve">By </w:t>
      </w:r>
      <w:r w:rsidR="00F6380E">
        <w:rPr>
          <w:rFonts w:eastAsiaTheme="minorHAnsi"/>
          <w:noProof/>
          <w:szCs w:val="22"/>
          <w:lang w:val="en-IE" w:eastAsia="en-US"/>
        </w:rPr>
        <w:t>17</w:t>
      </w:r>
      <w:r w:rsidRPr="00165CC4">
        <w:rPr>
          <w:rFonts w:eastAsiaTheme="minorHAnsi"/>
          <w:noProof/>
          <w:szCs w:val="22"/>
          <w:lang w:val="en-IE" w:eastAsia="en-US"/>
        </w:rPr>
        <w:t xml:space="preserve"> June 2026, the</w:t>
      </w:r>
      <w:r w:rsidR="00293A5D">
        <w:rPr>
          <w:rFonts w:eastAsiaTheme="minorHAnsi"/>
          <w:noProof/>
          <w:szCs w:val="22"/>
          <w:lang w:val="en-IE" w:eastAsia="en-US"/>
        </w:rPr>
        <w:t xml:space="preserve">re were </w:t>
      </w:r>
      <w:r w:rsidR="00A74719">
        <w:rPr>
          <w:rFonts w:eastAsiaTheme="minorHAnsi"/>
          <w:noProof/>
          <w:szCs w:val="22"/>
          <w:lang w:val="en-IE" w:eastAsia="en-US"/>
        </w:rPr>
        <w:t xml:space="preserve">still </w:t>
      </w:r>
      <w:r w:rsidR="00293A5D">
        <w:rPr>
          <w:rFonts w:eastAsiaTheme="minorHAnsi"/>
          <w:noProof/>
          <w:szCs w:val="22"/>
          <w:lang w:val="en-IE" w:eastAsia="en-US"/>
        </w:rPr>
        <w:t>11</w:t>
      </w:r>
      <w:r w:rsidRPr="00165CC4">
        <w:rPr>
          <w:rFonts w:eastAsiaTheme="minorHAnsi"/>
          <w:noProof/>
          <w:szCs w:val="22"/>
          <w:lang w:val="en-IE" w:eastAsia="en-US"/>
        </w:rPr>
        <w:t>leading judgments pending implementation</w:t>
      </w:r>
      <w:r w:rsidRPr="00165CC4">
        <w:rPr>
          <w:rFonts w:eastAsiaTheme="minorHAnsi"/>
          <w:noProof/>
          <w:szCs w:val="22"/>
          <w:vertAlign w:val="superscript"/>
          <w:lang w:val="en-IE" w:eastAsia="en-US"/>
        </w:rPr>
        <w:footnoteReference w:id="195"/>
      </w:r>
      <w:r w:rsidRPr="00165CC4">
        <w:rPr>
          <w:rFonts w:eastAsiaTheme="minorHAnsi"/>
          <w:noProof/>
          <w:szCs w:val="22"/>
          <w:lang w:val="en-IE" w:eastAsia="en-US"/>
        </w:rPr>
        <w:t>.</w:t>
      </w:r>
      <w:r w:rsidRPr="00165CC4">
        <w:rPr>
          <w:rFonts w:eastAsiaTheme="minorHAnsi"/>
          <w:b/>
          <w:bCs/>
          <w:noProof/>
          <w:szCs w:val="22"/>
          <w:lang w:val="en-IE" w:eastAsia="en-US"/>
        </w:rPr>
        <w:t xml:space="preserve"> </w:t>
      </w:r>
    </w:p>
    <w:p w14:paraId="1B759F3D" w14:textId="39E86C2E" w:rsidR="00165CC4" w:rsidRPr="00165CC4" w:rsidRDefault="00165CC4" w:rsidP="00165CC4">
      <w:pPr>
        <w:rPr>
          <w:rFonts w:eastAsia="Calibri"/>
          <w:noProof/>
          <w:szCs w:val="22"/>
          <w:lang w:val="en-IE" w:eastAsia="en-US"/>
        </w:rPr>
      </w:pPr>
      <w:r w:rsidRPr="00165CC4">
        <w:rPr>
          <w:rFonts w:eastAsia="Calibri"/>
          <w:b/>
          <w:noProof/>
          <w:szCs w:val="22"/>
          <w:lang w:val="en-IE" w:eastAsia="en-US"/>
        </w:rPr>
        <w:t xml:space="preserve">The Netherlands Institute for Human Rights and the Ombudsman continue to carry out their mandates effectively. </w:t>
      </w:r>
      <w:r w:rsidRPr="00165CC4">
        <w:rPr>
          <w:rFonts w:eastAsia="Calibri"/>
          <w:noProof/>
          <w:szCs w:val="22"/>
          <w:lang w:val="en-IE" w:eastAsia="en-US"/>
        </w:rPr>
        <w:t>The Netherlands Institute for Human Rights (NIHR) has been accredited an A-Status since 2014</w:t>
      </w:r>
      <w:r w:rsidRPr="00165CC4">
        <w:rPr>
          <w:rFonts w:eastAsia="Calibri"/>
          <w:noProof/>
          <w:szCs w:val="22"/>
          <w:vertAlign w:val="superscript"/>
          <w:lang w:val="en-IE" w:eastAsia="en-US"/>
        </w:rPr>
        <w:footnoteReference w:id="196"/>
      </w:r>
      <w:r w:rsidRPr="00165CC4">
        <w:rPr>
          <w:rFonts w:eastAsia="Calibri"/>
          <w:noProof/>
          <w:szCs w:val="22"/>
          <w:lang w:val="en-IE" w:eastAsia="en-US"/>
        </w:rPr>
        <w:t>. Both institutions have been exempted from the instructions of the new government to structurally reduce expenditure</w:t>
      </w:r>
      <w:r w:rsidRPr="00165CC4">
        <w:rPr>
          <w:rFonts w:eastAsia="Calibri"/>
          <w:noProof/>
          <w:szCs w:val="22"/>
          <w:vertAlign w:val="superscript"/>
          <w:lang w:val="en-IE" w:eastAsia="en-US"/>
        </w:rPr>
        <w:footnoteReference w:id="197"/>
      </w:r>
      <w:r w:rsidRPr="00165CC4">
        <w:rPr>
          <w:rFonts w:eastAsia="Calibri"/>
          <w:noProof/>
          <w:szCs w:val="22"/>
          <w:lang w:val="en-IE" w:eastAsia="en-US"/>
        </w:rPr>
        <w:t>. The NIHR indicated that resources were made available for new tasks, including the National Prevention Mechanism</w:t>
      </w:r>
      <w:r w:rsidRPr="00165CC4">
        <w:rPr>
          <w:rFonts w:eastAsia="Calibri"/>
          <w:noProof/>
          <w:szCs w:val="22"/>
          <w:vertAlign w:val="superscript"/>
          <w:lang w:val="en-IE" w:eastAsia="en-US"/>
        </w:rPr>
        <w:footnoteReference w:id="198"/>
      </w:r>
      <w:r w:rsidRPr="00165CC4">
        <w:rPr>
          <w:rFonts w:eastAsia="Calibri"/>
          <w:noProof/>
          <w:szCs w:val="22"/>
          <w:lang w:val="en-IE" w:eastAsia="en-US"/>
        </w:rPr>
        <w:t>. In its annual report, the NIHR reported an increase in human resources</w:t>
      </w:r>
      <w:r w:rsidRPr="00165CC4">
        <w:rPr>
          <w:rFonts w:eastAsia="Calibri"/>
          <w:noProof/>
          <w:szCs w:val="22"/>
          <w:vertAlign w:val="superscript"/>
          <w:lang w:val="en-IE" w:eastAsia="en-US"/>
        </w:rPr>
        <w:footnoteReference w:id="199"/>
      </w:r>
      <w:r w:rsidRPr="00165CC4">
        <w:rPr>
          <w:rFonts w:eastAsia="Calibri"/>
          <w:noProof/>
          <w:szCs w:val="22"/>
          <w:lang w:val="en-IE" w:eastAsia="en-US"/>
        </w:rPr>
        <w:t xml:space="preserve"> and the Ombudsman reported a small decline</w:t>
      </w:r>
      <w:r w:rsidRPr="00165CC4">
        <w:rPr>
          <w:rFonts w:eastAsia="Calibri"/>
          <w:noProof/>
          <w:szCs w:val="22"/>
          <w:vertAlign w:val="superscript"/>
          <w:lang w:val="en-IE" w:eastAsia="en-US"/>
        </w:rPr>
        <w:footnoteReference w:id="200"/>
      </w:r>
      <w:r w:rsidRPr="00165CC4">
        <w:rPr>
          <w:rFonts w:eastAsia="Calibri"/>
          <w:noProof/>
          <w:szCs w:val="22"/>
          <w:lang w:val="en-IE" w:eastAsia="en-US"/>
        </w:rPr>
        <w:t>. On 1 September 2025, the new chairperson of the NIHR took up his post. To carry out its task</w:t>
      </w:r>
      <w:r w:rsidR="00A0244D">
        <w:rPr>
          <w:rFonts w:eastAsia="Calibri"/>
          <w:noProof/>
          <w:szCs w:val="22"/>
          <w:lang w:val="en-IE" w:eastAsia="en-US"/>
        </w:rPr>
        <w:t xml:space="preserve"> of issuing non-binding</w:t>
      </w:r>
      <w:r w:rsidRPr="00165CC4">
        <w:rPr>
          <w:rFonts w:eastAsia="Calibri"/>
          <w:noProof/>
          <w:szCs w:val="22"/>
          <w:lang w:val="en-IE" w:eastAsia="en-US"/>
        </w:rPr>
        <w:t xml:space="preserve"> </w:t>
      </w:r>
      <w:r w:rsidR="0038080F">
        <w:rPr>
          <w:rFonts w:eastAsia="Calibri"/>
          <w:noProof/>
          <w:szCs w:val="22"/>
          <w:lang w:val="en-IE" w:eastAsia="en-US"/>
        </w:rPr>
        <w:t>decisions</w:t>
      </w:r>
      <w:r w:rsidRPr="00165CC4">
        <w:rPr>
          <w:rFonts w:eastAsia="Calibri"/>
          <w:noProof/>
          <w:szCs w:val="22"/>
          <w:lang w:val="en-IE" w:eastAsia="en-US"/>
        </w:rPr>
        <w:t xml:space="preserve"> in </w:t>
      </w:r>
      <w:r w:rsidR="00E508CD">
        <w:rPr>
          <w:rFonts w:eastAsia="Calibri"/>
          <w:noProof/>
          <w:szCs w:val="22"/>
          <w:lang w:val="en-IE" w:eastAsia="en-US"/>
        </w:rPr>
        <w:t xml:space="preserve">the </w:t>
      </w:r>
      <w:r w:rsidRPr="00165CC4">
        <w:rPr>
          <w:rFonts w:eastAsia="Calibri"/>
          <w:noProof/>
          <w:szCs w:val="22"/>
          <w:lang w:val="en-IE" w:eastAsia="en-US"/>
        </w:rPr>
        <w:t>Caribbean Netherlands, the NIHR received</w:t>
      </w:r>
      <w:r w:rsidR="00CF6103">
        <w:rPr>
          <w:rFonts w:eastAsia="Calibri"/>
          <w:noProof/>
          <w:szCs w:val="22"/>
          <w:lang w:val="en-IE" w:eastAsia="en-US"/>
        </w:rPr>
        <w:t xml:space="preserve"> an incidental</w:t>
      </w:r>
      <w:r w:rsidRPr="00165CC4">
        <w:rPr>
          <w:rFonts w:eastAsia="Calibri"/>
          <w:noProof/>
          <w:szCs w:val="22"/>
          <w:lang w:val="en-IE" w:eastAsia="en-US"/>
        </w:rPr>
        <w:t xml:space="preserve"> additional </w:t>
      </w:r>
      <w:r w:rsidR="00094057">
        <w:rPr>
          <w:rFonts w:eastAsia="Calibri"/>
          <w:noProof/>
          <w:szCs w:val="22"/>
          <w:lang w:val="en-IE" w:eastAsia="en-US"/>
        </w:rPr>
        <w:t>contribution for 2026</w:t>
      </w:r>
      <w:r w:rsidRPr="00165CC4">
        <w:rPr>
          <w:rFonts w:eastAsia="Calibri"/>
          <w:noProof/>
          <w:szCs w:val="22"/>
          <w:lang w:val="en-IE" w:eastAsia="en-US"/>
        </w:rPr>
        <w:t xml:space="preserve"> from the Government</w:t>
      </w:r>
      <w:r w:rsidRPr="00165CC4">
        <w:rPr>
          <w:rFonts w:eastAsia="Calibri"/>
          <w:noProof/>
          <w:szCs w:val="22"/>
          <w:vertAlign w:val="superscript"/>
          <w:lang w:val="en-IE" w:eastAsia="en-US"/>
        </w:rPr>
        <w:footnoteReference w:id="201"/>
      </w:r>
      <w:r w:rsidRPr="00165CC4">
        <w:rPr>
          <w:rFonts w:eastAsia="Calibri"/>
          <w:noProof/>
          <w:szCs w:val="22"/>
          <w:lang w:val="en-IE" w:eastAsia="en-US"/>
        </w:rPr>
        <w:t>. The Ministry for Justice and Security has published its Policy Strategy Caribbean Netherlands 2026-2030, setting priorities that should among others strengthen the rule of law</w:t>
      </w:r>
      <w:r w:rsidRPr="00165CC4">
        <w:rPr>
          <w:rFonts w:eastAsia="Calibri"/>
          <w:noProof/>
          <w:szCs w:val="22"/>
          <w:vertAlign w:val="superscript"/>
          <w:lang w:val="en-IE" w:eastAsia="en-US"/>
        </w:rPr>
        <w:footnoteReference w:id="202"/>
      </w:r>
      <w:r w:rsidRPr="00165CC4">
        <w:rPr>
          <w:rFonts w:eastAsia="Calibri"/>
          <w:noProof/>
          <w:szCs w:val="22"/>
          <w:lang w:val="en-IE" w:eastAsia="en-US"/>
        </w:rPr>
        <w:t>.</w:t>
      </w:r>
    </w:p>
    <w:p w14:paraId="0A6A971E" w14:textId="77777777" w:rsidR="00165CC4" w:rsidRPr="00165CC4" w:rsidRDefault="00165CC4" w:rsidP="00165CC4">
      <w:pPr>
        <w:rPr>
          <w:noProof/>
          <w:szCs w:val="22"/>
          <w:lang w:val="en-IE" w:eastAsia="fr-FR"/>
        </w:rPr>
      </w:pPr>
      <w:r w:rsidRPr="00165CC4">
        <w:rPr>
          <w:b/>
          <w:noProof/>
          <w:szCs w:val="22"/>
          <w:lang w:val="en-IE" w:eastAsia="fr-FR"/>
        </w:rPr>
        <w:t xml:space="preserve">Civil society organisations welcomed the Senate’s rejection of the law on transparency of CSOs, while raising concerns on other initiatives that risk affecting civic space. </w:t>
      </w:r>
      <w:r w:rsidRPr="00165CC4">
        <w:rPr>
          <w:rFonts w:eastAsiaTheme="minorEastAsia" w:cstheme="minorBidi"/>
          <w:noProof/>
          <w:szCs w:val="22"/>
          <w:lang w:val="en-IE" w:eastAsia="en-US"/>
        </w:rPr>
        <w:t xml:space="preserve">The Netherlands’ overall civic space remains, according to Civicus, </w:t>
      </w:r>
      <w:r w:rsidRPr="00165CC4">
        <w:rPr>
          <w:noProof/>
          <w:szCs w:val="22"/>
          <w:lang w:val="en-IE" w:eastAsia="fr-FR"/>
        </w:rPr>
        <w:t>narrowed</w:t>
      </w:r>
      <w:r w:rsidRPr="00165CC4">
        <w:rPr>
          <w:rFonts w:eastAsiaTheme="minorEastAsia" w:cstheme="minorBidi"/>
          <w:noProof/>
          <w:szCs w:val="22"/>
          <w:vertAlign w:val="superscript"/>
          <w:lang w:val="en-IE" w:eastAsia="en-US"/>
        </w:rPr>
        <w:footnoteReference w:id="203"/>
      </w:r>
      <w:r w:rsidRPr="00165CC4">
        <w:rPr>
          <w:rFonts w:eastAsiaTheme="minorEastAsia" w:cstheme="minorBidi"/>
          <w:noProof/>
          <w:szCs w:val="22"/>
          <w:lang w:val="en-IE" w:eastAsia="en-US"/>
        </w:rPr>
        <w:t xml:space="preserve">. In March 2026, the Senate rejected </w:t>
      </w:r>
      <w:r w:rsidRPr="00165CC4">
        <w:rPr>
          <w:noProof/>
          <w:szCs w:val="22"/>
          <w:lang w:val="en-IE" w:eastAsia="fr-FR"/>
        </w:rPr>
        <w:t>the Law on transparency of CSOs</w:t>
      </w:r>
      <w:r w:rsidRPr="00165CC4">
        <w:rPr>
          <w:noProof/>
          <w:szCs w:val="22"/>
          <w:vertAlign w:val="superscript"/>
          <w:lang w:val="en-IE" w:eastAsia="fr-FR"/>
        </w:rPr>
        <w:footnoteReference w:id="204"/>
      </w:r>
      <w:r w:rsidRPr="00165CC4">
        <w:rPr>
          <w:noProof/>
          <w:szCs w:val="22"/>
          <w:lang w:val="en-IE" w:eastAsia="fr-FR"/>
        </w:rPr>
        <w:t xml:space="preserve">, which had been criticised by CSOs, charitable organisations and the </w:t>
      </w:r>
      <w:r w:rsidRPr="00165CC4">
        <w:rPr>
          <w:rFonts w:eastAsia="Calibri"/>
          <w:noProof/>
          <w:szCs w:val="22"/>
          <w:lang w:val="en-IE" w:eastAsia="en-US"/>
        </w:rPr>
        <w:t>NIHR</w:t>
      </w:r>
      <w:r w:rsidRPr="00165CC4">
        <w:rPr>
          <w:noProof/>
          <w:szCs w:val="22"/>
          <w:vertAlign w:val="superscript"/>
          <w:lang w:val="en-IE" w:eastAsia="fr-FR"/>
        </w:rPr>
        <w:footnoteReference w:id="205"/>
      </w:r>
      <w:r w:rsidRPr="00165CC4">
        <w:rPr>
          <w:noProof/>
          <w:szCs w:val="22"/>
          <w:lang w:val="en-IE" w:eastAsia="fr-FR"/>
        </w:rPr>
        <w:t xml:space="preserve">. </w:t>
      </w:r>
      <w:r w:rsidRPr="00165CC4">
        <w:rPr>
          <w:rFonts w:eastAsiaTheme="minorEastAsia" w:cstheme="minorBidi"/>
          <w:noProof/>
          <w:szCs w:val="22"/>
          <w:lang w:val="en-IE" w:eastAsia="en-US"/>
        </w:rPr>
        <w:t xml:space="preserve">The </w:t>
      </w:r>
      <w:r w:rsidRPr="00165CC4">
        <w:rPr>
          <w:rFonts w:eastAsia="Calibri"/>
          <w:noProof/>
          <w:szCs w:val="22"/>
          <w:lang w:val="en-IE" w:eastAsia="en-US"/>
        </w:rPr>
        <w:t>NIHR</w:t>
      </w:r>
      <w:r w:rsidRPr="00165CC4">
        <w:rPr>
          <w:rFonts w:eastAsia="Calibri"/>
          <w:b/>
          <w:noProof/>
          <w:szCs w:val="22"/>
          <w:lang w:val="en-IE" w:eastAsia="en-US"/>
        </w:rPr>
        <w:t xml:space="preserve"> </w:t>
      </w:r>
      <w:r w:rsidRPr="00165CC4">
        <w:rPr>
          <w:rFonts w:eastAsiaTheme="minorEastAsia" w:cstheme="minorBidi"/>
          <w:noProof/>
          <w:szCs w:val="22"/>
          <w:lang w:val="en-IE" w:eastAsia="en-US"/>
        </w:rPr>
        <w:t>called on the Government to take steps to facilitate the work of civil society</w:t>
      </w:r>
      <w:r w:rsidRPr="00165CC4">
        <w:rPr>
          <w:rFonts w:eastAsiaTheme="minorEastAsia" w:cstheme="minorBidi"/>
          <w:noProof/>
          <w:szCs w:val="22"/>
          <w:vertAlign w:val="superscript"/>
          <w:lang w:val="en-IE" w:eastAsia="en-US"/>
        </w:rPr>
        <w:footnoteReference w:id="206"/>
      </w:r>
      <w:r w:rsidRPr="00165CC4">
        <w:rPr>
          <w:rFonts w:eastAsiaTheme="minorEastAsia" w:cstheme="minorBidi"/>
          <w:noProof/>
          <w:szCs w:val="22"/>
          <w:lang w:val="en-IE" w:eastAsia="en-US"/>
        </w:rPr>
        <w:t>. Empirical research among CSOs has shown that 86 % consider that their situation has worsened over the last two years</w:t>
      </w:r>
      <w:r w:rsidRPr="00165CC4">
        <w:rPr>
          <w:rFonts w:eastAsiaTheme="minorEastAsia" w:cstheme="minorBidi"/>
          <w:noProof/>
          <w:szCs w:val="22"/>
          <w:vertAlign w:val="superscript"/>
          <w:lang w:val="en-IE" w:eastAsia="en-US"/>
        </w:rPr>
        <w:footnoteReference w:id="207"/>
      </w:r>
      <w:r w:rsidRPr="00165CC4">
        <w:rPr>
          <w:rFonts w:eastAsiaTheme="minorEastAsia" w:cstheme="minorBidi"/>
          <w:noProof/>
          <w:szCs w:val="22"/>
          <w:lang w:val="en-IE" w:eastAsia="en-US"/>
        </w:rPr>
        <w:t xml:space="preserve">. Following a report commissioned by the </w:t>
      </w:r>
      <w:r w:rsidRPr="00165CC4">
        <w:rPr>
          <w:rFonts w:eastAsiaTheme="minorHAnsi"/>
          <w:noProof/>
          <w:szCs w:val="22"/>
          <w:lang w:val="en-IE" w:eastAsia="en-US"/>
        </w:rPr>
        <w:t>WODC</w:t>
      </w:r>
      <w:r w:rsidRPr="00165CC4">
        <w:rPr>
          <w:rFonts w:eastAsiaTheme="minorEastAsia" w:cstheme="minorBidi"/>
          <w:noProof/>
          <w:szCs w:val="22"/>
          <w:vertAlign w:val="superscript"/>
          <w:lang w:val="en-IE" w:eastAsia="en-US"/>
        </w:rPr>
        <w:footnoteReference w:id="208"/>
      </w:r>
      <w:r w:rsidRPr="00165CC4">
        <w:rPr>
          <w:rFonts w:eastAsiaTheme="minorEastAsia" w:cstheme="minorBidi"/>
          <w:noProof/>
          <w:szCs w:val="22"/>
          <w:lang w:val="en-IE" w:eastAsia="en-US"/>
        </w:rPr>
        <w:t>, the Government is carrying out an assessment with a view to amending legislation to address situations</w:t>
      </w:r>
      <w:r w:rsidRPr="00165CC4" w:rsidDel="000C3F4E">
        <w:rPr>
          <w:rFonts w:eastAsiaTheme="minorEastAsia" w:cstheme="minorBidi"/>
          <w:noProof/>
          <w:szCs w:val="22"/>
          <w:lang w:val="en-IE" w:eastAsia="en-US"/>
        </w:rPr>
        <w:t xml:space="preserve"> </w:t>
      </w:r>
      <w:r w:rsidRPr="00165CC4">
        <w:rPr>
          <w:rFonts w:eastAsiaTheme="minorEastAsia" w:cstheme="minorBidi"/>
          <w:noProof/>
          <w:szCs w:val="22"/>
          <w:lang w:val="en-IE" w:eastAsia="en-US"/>
        </w:rPr>
        <w:t>where protesters are breaking the law intentionally, where the rights of protesters clash with the rights of others, or where police capacity is limited. A detailed government reply to the report of the WODC is expected after Parliament’s 2026 summer recess</w:t>
      </w:r>
      <w:r w:rsidRPr="00165CC4">
        <w:rPr>
          <w:rFonts w:eastAsiaTheme="minorEastAsia" w:cstheme="minorBidi"/>
          <w:noProof/>
          <w:szCs w:val="22"/>
          <w:vertAlign w:val="superscript"/>
          <w:lang w:val="en-IE" w:eastAsia="en-US"/>
        </w:rPr>
        <w:footnoteReference w:id="209"/>
      </w:r>
      <w:r w:rsidRPr="00165CC4">
        <w:rPr>
          <w:rFonts w:eastAsiaTheme="minorEastAsia" w:cstheme="minorBidi"/>
          <w:noProof/>
          <w:szCs w:val="22"/>
          <w:lang w:val="en-IE" w:eastAsia="en-US"/>
        </w:rPr>
        <w:t>. In its report of May 2026</w:t>
      </w:r>
      <w:r w:rsidRPr="00165CC4">
        <w:rPr>
          <w:rFonts w:eastAsiaTheme="minorEastAsia" w:cstheme="minorBidi"/>
          <w:noProof/>
          <w:szCs w:val="22"/>
          <w:vertAlign w:val="superscript"/>
          <w:lang w:val="en-IE" w:eastAsia="en-US"/>
        </w:rPr>
        <w:footnoteReference w:id="210"/>
      </w:r>
      <w:r w:rsidRPr="00165CC4">
        <w:rPr>
          <w:rFonts w:eastAsiaTheme="minorEastAsia" w:cstheme="minorBidi"/>
          <w:noProof/>
          <w:szCs w:val="22"/>
          <w:lang w:val="en-IE" w:eastAsia="en-US"/>
        </w:rPr>
        <w:t>, the Ombudsman took the view that the government’s focus on limiting risks and nuisance in demonstrations may discourage citizens from taking part. Several civil society organisations have reiterated concerns reflected in the 2025 Rule of Law Report about certain measures taken by public authorities</w:t>
      </w:r>
      <w:r w:rsidRPr="00165CC4">
        <w:rPr>
          <w:rFonts w:eastAsiaTheme="minorEastAsia" w:cstheme="minorBidi"/>
          <w:noProof/>
          <w:szCs w:val="22"/>
          <w:vertAlign w:val="superscript"/>
          <w:lang w:val="en-IE" w:eastAsia="en-US"/>
        </w:rPr>
        <w:footnoteReference w:id="211"/>
      </w:r>
      <w:r w:rsidRPr="00165CC4">
        <w:rPr>
          <w:rFonts w:eastAsiaTheme="minorEastAsia" w:cstheme="minorBidi"/>
          <w:noProof/>
          <w:szCs w:val="22"/>
          <w:lang w:val="en-IE" w:eastAsia="en-US"/>
        </w:rPr>
        <w:t>, such as the increased use of emergency ordinances to prohibit or disband protests</w:t>
      </w:r>
      <w:r w:rsidRPr="00165CC4">
        <w:rPr>
          <w:rFonts w:eastAsiaTheme="minorEastAsia" w:cstheme="minorBidi"/>
          <w:noProof/>
          <w:szCs w:val="22"/>
          <w:vertAlign w:val="superscript"/>
          <w:lang w:val="en-IE" w:eastAsia="en-US"/>
        </w:rPr>
        <w:footnoteReference w:id="212"/>
      </w:r>
      <w:r w:rsidRPr="00165CC4">
        <w:rPr>
          <w:rFonts w:eastAsiaTheme="minorEastAsia" w:cstheme="minorBidi"/>
          <w:noProof/>
          <w:szCs w:val="22"/>
          <w:lang w:val="en-IE" w:eastAsia="en-US"/>
        </w:rPr>
        <w:t>, considering them to be disproportionate</w:t>
      </w:r>
      <w:r w:rsidRPr="00165CC4">
        <w:rPr>
          <w:rFonts w:eastAsiaTheme="minorEastAsia" w:cstheme="minorBidi"/>
          <w:noProof/>
          <w:szCs w:val="22"/>
          <w:vertAlign w:val="superscript"/>
          <w:lang w:val="en-IE" w:eastAsia="en-US"/>
        </w:rPr>
        <w:footnoteReference w:id="213"/>
      </w:r>
      <w:r w:rsidRPr="00165CC4">
        <w:rPr>
          <w:rFonts w:eastAsiaTheme="minorEastAsia" w:cstheme="minorBidi"/>
          <w:noProof/>
          <w:szCs w:val="22"/>
          <w:lang w:val="en-IE" w:eastAsia="en-US"/>
        </w:rPr>
        <w:t>. The city of Amsterdam has called for more support to local authorities to assist them in their task to protect and facilitate demonstrations</w:t>
      </w:r>
      <w:r w:rsidRPr="00165CC4">
        <w:rPr>
          <w:rFonts w:eastAsiaTheme="minorEastAsia" w:cstheme="minorBidi"/>
          <w:noProof/>
          <w:szCs w:val="22"/>
          <w:vertAlign w:val="superscript"/>
          <w:lang w:val="en-IE" w:eastAsia="en-US"/>
        </w:rPr>
        <w:footnoteReference w:id="214"/>
      </w:r>
      <w:r w:rsidRPr="00165CC4">
        <w:rPr>
          <w:rFonts w:eastAsiaTheme="minorEastAsia" w:cstheme="minorBidi"/>
          <w:noProof/>
          <w:szCs w:val="22"/>
          <w:lang w:val="en-IE" w:eastAsia="en-US"/>
        </w:rPr>
        <w:t xml:space="preserve">. </w:t>
      </w:r>
    </w:p>
    <w:p w14:paraId="363416F7" w14:textId="77777777" w:rsidR="00165CC4" w:rsidRPr="00165CC4" w:rsidRDefault="00165CC4" w:rsidP="00165CC4">
      <w:pPr>
        <w:pageBreakBefore/>
        <w:spacing w:after="120" w:line="264" w:lineRule="auto"/>
        <w:rPr>
          <w:b/>
          <w:noProof/>
          <w:szCs w:val="22"/>
          <w:lang w:val="en-IE" w:eastAsia="en-GB"/>
        </w:rPr>
      </w:pPr>
      <w:r w:rsidRPr="00165CC4">
        <w:rPr>
          <w:b/>
          <w:noProof/>
          <w:szCs w:val="22"/>
          <w:lang w:val="en-IE" w:eastAsia="en-GB"/>
        </w:rPr>
        <w:t>Annex I: List of sources in alphabetical order*</w:t>
      </w:r>
    </w:p>
    <w:p w14:paraId="0761DCFF" w14:textId="5CD0112A" w:rsidR="00165CC4" w:rsidRPr="00165CC4" w:rsidRDefault="00165CC4" w:rsidP="00D76AF1">
      <w:pPr>
        <w:spacing w:after="120"/>
        <w:rPr>
          <w:i/>
          <w:noProof/>
          <w:sz w:val="22"/>
          <w:szCs w:val="22"/>
          <w:lang w:val="en-IE" w:eastAsia="en-GB"/>
        </w:rPr>
      </w:pPr>
      <w:r w:rsidRPr="00165CC4">
        <w:rPr>
          <w:i/>
          <w:noProof/>
          <w:sz w:val="22"/>
          <w:szCs w:val="22"/>
          <w:lang w:val="en-IE" w:eastAsia="en-GB"/>
        </w:rPr>
        <w:t xml:space="preserve">The list of contributions received in the context of the consultation for the 2026 Rule of Law Report can be found at </w:t>
      </w:r>
      <w:hyperlink r:id="rId22" w:history="1">
        <w:r w:rsidR="00D10662" w:rsidRPr="00D10662">
          <w:rPr>
            <w:rStyle w:val="Hyperlink"/>
            <w:i/>
            <w:noProof/>
            <w:sz w:val="22"/>
            <w:szCs w:val="22"/>
            <w:lang w:val="en-US" w:eastAsia="en-GB"/>
          </w:rPr>
          <w:t>https://commission.europa.eu/publications/2026-rule-law-report-targeted-stakeholder-consultation_en</w:t>
        </w:r>
      </w:hyperlink>
      <w:r w:rsidR="00D10662">
        <w:rPr>
          <w:i/>
          <w:noProof/>
          <w:sz w:val="22"/>
          <w:szCs w:val="22"/>
          <w:lang w:val="en-IE" w:eastAsia="en-GB"/>
        </w:rPr>
        <w:t xml:space="preserve">. </w:t>
      </w:r>
    </w:p>
    <w:p w14:paraId="27525EF2" w14:textId="77777777" w:rsidR="00BA2DB1" w:rsidRPr="004C751E" w:rsidRDefault="00C77EC4" w:rsidP="00D76AF1">
      <w:pPr>
        <w:spacing w:after="120"/>
        <w:rPr>
          <w:noProof/>
          <w:sz w:val="22"/>
          <w:szCs w:val="22"/>
        </w:rPr>
      </w:pPr>
      <w:r w:rsidRPr="004C751E">
        <w:rPr>
          <w:noProof/>
          <w:sz w:val="22"/>
          <w:szCs w:val="22"/>
        </w:rPr>
        <w:t xml:space="preserve">Centre for Media Pluralism and Media Freedom (2026), Media Pluralism Monitor 2026, Country report for the Netherlands, </w:t>
      </w:r>
      <w:hyperlink r:id="rId23" w:history="1">
        <w:r w:rsidRPr="004C751E">
          <w:rPr>
            <w:rStyle w:val="Hyperlink"/>
            <w:noProof/>
            <w:sz w:val="22"/>
            <w:szCs w:val="22"/>
          </w:rPr>
          <w:t>https://cmpf.eui.eu/projects/media-pluralism-monitor/</w:t>
        </w:r>
      </w:hyperlink>
      <w:r w:rsidRPr="004C751E">
        <w:rPr>
          <w:noProof/>
          <w:sz w:val="22"/>
          <w:szCs w:val="22"/>
        </w:rPr>
        <w:t xml:space="preserve">. </w:t>
      </w:r>
    </w:p>
    <w:p w14:paraId="56BA0637" w14:textId="156F8F0A" w:rsidR="00C77EC4" w:rsidRPr="004C751E" w:rsidRDefault="00C77EC4" w:rsidP="00D76AF1">
      <w:pPr>
        <w:spacing w:after="120"/>
        <w:rPr>
          <w:noProof/>
          <w:sz w:val="22"/>
          <w:szCs w:val="22"/>
        </w:rPr>
      </w:pPr>
      <w:r w:rsidRPr="004C751E">
        <w:rPr>
          <w:noProof/>
          <w:sz w:val="22"/>
          <w:szCs w:val="22"/>
        </w:rPr>
        <w:t xml:space="preserve">Centre for Media Pluralism and Media Freedom </w:t>
      </w:r>
      <w:r w:rsidRPr="004C751E">
        <w:rPr>
          <w:noProof/>
          <w:sz w:val="22"/>
          <w:szCs w:val="22"/>
          <w:lang w:val="en-IE"/>
        </w:rPr>
        <w:t xml:space="preserve">(2025), Media Pluralism Monitor 2025, Country report for the Netherlands, </w:t>
      </w:r>
      <w:hyperlink r:id="rId24" w:history="1">
        <w:r w:rsidR="005F347C" w:rsidRPr="002A1930">
          <w:rPr>
            <w:rStyle w:val="Hyperlink"/>
            <w:noProof/>
            <w:sz w:val="22"/>
            <w:szCs w:val="22"/>
            <w:lang w:val="en-IE"/>
          </w:rPr>
          <w:t>https://cmpf.eui.eu/projects/media-pluralism-monitor/</w:t>
        </w:r>
      </w:hyperlink>
      <w:r w:rsidRPr="004C751E">
        <w:rPr>
          <w:noProof/>
          <w:sz w:val="22"/>
          <w:szCs w:val="22"/>
          <w:lang w:val="en-IE"/>
        </w:rPr>
        <w:t>.</w:t>
      </w:r>
      <w:r w:rsidR="005F347C">
        <w:rPr>
          <w:noProof/>
          <w:sz w:val="22"/>
          <w:szCs w:val="22"/>
          <w:lang w:val="en-IE"/>
        </w:rPr>
        <w:t xml:space="preserve"> </w:t>
      </w:r>
    </w:p>
    <w:p w14:paraId="003FCC63" w14:textId="77777777" w:rsidR="0079415B" w:rsidRPr="004C751E" w:rsidRDefault="0079415B" w:rsidP="00D76AF1">
      <w:pPr>
        <w:spacing w:after="120"/>
        <w:rPr>
          <w:rFonts w:eastAsiaTheme="minorHAnsi"/>
          <w:noProof/>
          <w:sz w:val="22"/>
          <w:szCs w:val="22"/>
          <w:lang w:val="en-IE" w:eastAsia="en-US"/>
        </w:rPr>
      </w:pPr>
      <w:r w:rsidRPr="004C751E">
        <w:rPr>
          <w:rFonts w:eastAsiaTheme="minorHAnsi"/>
          <w:noProof/>
          <w:sz w:val="22"/>
          <w:szCs w:val="22"/>
          <w:lang w:val="en-IE" w:eastAsia="en-US"/>
        </w:rPr>
        <w:t xml:space="preserve">Central Government Audit Service (2025), Investigative report – controlling fraud- and corruption risks, 2 October 2025, </w:t>
      </w:r>
      <w:hyperlink r:id="rId25" w:history="1">
        <w:r w:rsidRPr="004C751E">
          <w:rPr>
            <w:rFonts w:eastAsiaTheme="minorHAnsi"/>
            <w:noProof/>
            <w:color w:val="0563C1" w:themeColor="hyperlink"/>
            <w:sz w:val="22"/>
            <w:szCs w:val="22"/>
            <w:u w:val="single"/>
            <w:lang w:val="en-IE" w:eastAsia="en-US"/>
          </w:rPr>
          <w:t>https://www.rijksoverheid.nl/documenten/rapporten/2025/10/02/beheersing-fraude-en-corruptierisico-s</w:t>
        </w:r>
      </w:hyperlink>
      <w:r w:rsidRPr="004C751E">
        <w:rPr>
          <w:rFonts w:eastAsiaTheme="minorHAnsi"/>
          <w:noProof/>
          <w:sz w:val="22"/>
          <w:szCs w:val="22"/>
          <w:lang w:val="en-IE" w:eastAsia="en-US"/>
        </w:rPr>
        <w:t>.</w:t>
      </w:r>
    </w:p>
    <w:p w14:paraId="2A90A30B" w14:textId="06B90FDC" w:rsidR="0079415B" w:rsidRPr="004C751E" w:rsidRDefault="0079415B" w:rsidP="00D76AF1">
      <w:pPr>
        <w:spacing w:after="120"/>
        <w:rPr>
          <w:rFonts w:eastAsia="Calibri"/>
          <w:i/>
          <w:iCs/>
          <w:noProof/>
          <w:sz w:val="22"/>
          <w:szCs w:val="22"/>
          <w:lang w:val="en-IE" w:eastAsia="en-US"/>
        </w:rPr>
      </w:pPr>
      <w:r w:rsidRPr="004C751E">
        <w:rPr>
          <w:rFonts w:eastAsiaTheme="minorHAnsi"/>
          <w:noProof/>
          <w:sz w:val="22"/>
          <w:szCs w:val="22"/>
          <w:lang w:val="en-IE" w:eastAsia="en-US"/>
        </w:rPr>
        <w:t xml:space="preserve">City of Amsterdam (2026), </w:t>
      </w:r>
      <w:r w:rsidRPr="004C751E">
        <w:rPr>
          <w:rFonts w:eastAsia="Calibri"/>
          <w:i/>
          <w:iCs/>
          <w:noProof/>
          <w:sz w:val="22"/>
          <w:szCs w:val="22"/>
          <w:lang w:val="en-IE" w:eastAsia="en-US"/>
        </w:rPr>
        <w:t>Input from the City of Amsterdam for the 2026 Rule of Law Report.</w:t>
      </w:r>
      <w:r w:rsidRPr="004C751E">
        <w:rPr>
          <w:rFonts w:eastAsiaTheme="minorHAnsi"/>
          <w:noProof/>
          <w:sz w:val="22"/>
          <w:szCs w:val="22"/>
          <w:lang w:val="en-IE" w:eastAsia="en-US"/>
        </w:rPr>
        <w:t xml:space="preserve"> </w:t>
      </w:r>
    </w:p>
    <w:p w14:paraId="09CBB5DE" w14:textId="3893412D" w:rsidR="0079415B" w:rsidRPr="004C751E" w:rsidRDefault="0079415B" w:rsidP="00D76AF1">
      <w:pPr>
        <w:spacing w:after="120"/>
        <w:rPr>
          <w:rFonts w:eastAsiaTheme="minorHAnsi"/>
          <w:noProof/>
          <w:sz w:val="22"/>
          <w:szCs w:val="22"/>
          <w:lang w:val="en-IE" w:eastAsia="en-US"/>
        </w:rPr>
      </w:pPr>
      <w:r w:rsidRPr="004C751E">
        <w:rPr>
          <w:rFonts w:eastAsiaTheme="minorHAnsi"/>
          <w:noProof/>
          <w:sz w:val="22"/>
          <w:szCs w:val="22"/>
          <w:lang w:val="en-IE" w:eastAsia="en-US"/>
        </w:rPr>
        <w:t xml:space="preserve">Civil Liberties Union for Europe (2026), Liberties Rule of Law Report 2026, 30 March 2026, </w:t>
      </w:r>
      <w:hyperlink r:id="rId26" w:history="1">
        <w:r w:rsidRPr="004C751E">
          <w:rPr>
            <w:rStyle w:val="Hyperlink"/>
            <w:rFonts w:eastAsiaTheme="minorHAnsi"/>
            <w:noProof/>
            <w:sz w:val="22"/>
            <w:szCs w:val="22"/>
            <w:lang w:val="en-IE" w:eastAsia="en-US"/>
          </w:rPr>
          <w:t>https://www.liberties.eu/f/wtaqoq</w:t>
        </w:r>
      </w:hyperlink>
      <w:r w:rsidRPr="004C751E">
        <w:rPr>
          <w:rFonts w:eastAsiaTheme="minorHAnsi"/>
          <w:noProof/>
          <w:sz w:val="22"/>
          <w:szCs w:val="22"/>
          <w:lang w:val="en-IE" w:eastAsia="en-US"/>
        </w:rPr>
        <w:t>.</w:t>
      </w:r>
      <w:r w:rsidR="00B94D41" w:rsidRPr="004C751E">
        <w:rPr>
          <w:rFonts w:eastAsiaTheme="minorHAnsi"/>
          <w:noProof/>
          <w:sz w:val="22"/>
          <w:szCs w:val="22"/>
          <w:lang w:val="en-IE" w:eastAsia="en-US"/>
        </w:rPr>
        <w:t xml:space="preserve"> </w:t>
      </w:r>
    </w:p>
    <w:p w14:paraId="670CB17B" w14:textId="77777777" w:rsidR="0079415B" w:rsidRPr="004C751E" w:rsidRDefault="0079415B" w:rsidP="00D76AF1">
      <w:pPr>
        <w:spacing w:after="120"/>
        <w:rPr>
          <w:rFonts w:eastAsiaTheme="minorHAnsi"/>
          <w:noProof/>
          <w:sz w:val="22"/>
          <w:szCs w:val="22"/>
          <w:lang w:val="en-IE" w:eastAsia="en-US"/>
        </w:rPr>
      </w:pPr>
      <w:r w:rsidRPr="004C751E">
        <w:rPr>
          <w:rFonts w:eastAsiaTheme="minorHAnsi"/>
          <w:noProof/>
          <w:sz w:val="22"/>
          <w:szCs w:val="22"/>
          <w:lang w:val="en-IE" w:eastAsia="en-US"/>
        </w:rPr>
        <w:t>Coalition Agreement (2026), Getting started – coalition agreement 2026-2030 (</w:t>
      </w:r>
      <w:r w:rsidRPr="004C751E">
        <w:rPr>
          <w:rFonts w:eastAsiaTheme="minorHAnsi"/>
          <w:i/>
          <w:iCs/>
          <w:noProof/>
          <w:sz w:val="22"/>
          <w:szCs w:val="22"/>
          <w:lang w:val="en-IE" w:eastAsia="en-US"/>
        </w:rPr>
        <w:t>Aan de Slag – Coalitieakkoord</w:t>
      </w:r>
      <w:r w:rsidRPr="004C751E">
        <w:rPr>
          <w:rFonts w:eastAsiaTheme="minorHAnsi"/>
          <w:noProof/>
          <w:sz w:val="22"/>
          <w:szCs w:val="22"/>
          <w:lang w:val="en-IE" w:eastAsia="en-US"/>
        </w:rPr>
        <w:t xml:space="preserve"> 2026-2030), 30 January 2026, </w:t>
      </w:r>
      <w:hyperlink r:id="rId27" w:history="1">
        <w:r w:rsidRPr="004C751E">
          <w:rPr>
            <w:rFonts w:eastAsiaTheme="minorHAnsi"/>
            <w:noProof/>
            <w:color w:val="0563C1" w:themeColor="hyperlink"/>
            <w:sz w:val="22"/>
            <w:szCs w:val="22"/>
            <w:u w:val="single"/>
            <w:lang w:val="en-IE" w:eastAsia="en-US"/>
          </w:rPr>
          <w:t>https://www.kabinetsformatie2025.nl/documenten/2026/01/30/aan-de-slag---coalitieakkoord-2026-2030</w:t>
        </w:r>
      </w:hyperlink>
      <w:r w:rsidRPr="004C751E">
        <w:rPr>
          <w:rFonts w:eastAsiaTheme="minorHAnsi"/>
          <w:noProof/>
          <w:sz w:val="22"/>
          <w:szCs w:val="22"/>
          <w:lang w:val="en-IE" w:eastAsia="en-US"/>
        </w:rPr>
        <w:t xml:space="preserve">. </w:t>
      </w:r>
    </w:p>
    <w:p w14:paraId="6D019F7C" w14:textId="77777777" w:rsidR="0079415B" w:rsidRPr="004C751E" w:rsidRDefault="0079415B" w:rsidP="00D76AF1">
      <w:pPr>
        <w:spacing w:after="120"/>
        <w:rPr>
          <w:rFonts w:eastAsiaTheme="minorHAnsi"/>
          <w:noProof/>
          <w:sz w:val="22"/>
          <w:szCs w:val="22"/>
          <w:lang w:val="en-IE" w:eastAsia="en-US"/>
        </w:rPr>
      </w:pPr>
      <w:r w:rsidRPr="004C751E">
        <w:rPr>
          <w:rFonts w:eastAsiaTheme="minorHAnsi"/>
          <w:noProof/>
          <w:sz w:val="22"/>
          <w:szCs w:val="22"/>
          <w:lang w:val="en-IE" w:eastAsia="en-US"/>
        </w:rPr>
        <w:t>Coalition Agreement (2026a), Budgetary table and appendix to coalition agreement Getting started, 30 January 2026 (</w:t>
      </w:r>
      <w:r w:rsidRPr="004C751E">
        <w:rPr>
          <w:rFonts w:eastAsiaTheme="minorHAnsi"/>
          <w:i/>
          <w:iCs/>
          <w:noProof/>
          <w:sz w:val="22"/>
          <w:szCs w:val="22"/>
          <w:lang w:val="en-IE" w:eastAsia="en-US"/>
        </w:rPr>
        <w:t>Budgettaire tabel en bijlage bij coalitieakkoord Aan de slag</w:t>
      </w:r>
      <w:r w:rsidRPr="004C751E">
        <w:rPr>
          <w:rFonts w:eastAsiaTheme="minorHAnsi"/>
          <w:noProof/>
          <w:sz w:val="22"/>
          <w:szCs w:val="22"/>
          <w:lang w:val="en-IE" w:eastAsia="en-US"/>
        </w:rPr>
        <w:t xml:space="preserve">), 30 January 2026, </w:t>
      </w:r>
      <w:hyperlink r:id="rId28" w:history="1">
        <w:r w:rsidRPr="004C751E">
          <w:rPr>
            <w:rFonts w:eastAsiaTheme="minorHAnsi"/>
            <w:noProof/>
            <w:color w:val="0563C1" w:themeColor="hyperlink"/>
            <w:sz w:val="22"/>
            <w:szCs w:val="22"/>
            <w:u w:val="single"/>
            <w:lang w:val="en-IE" w:eastAsia="en-US"/>
          </w:rPr>
          <w:t>https://www.kabinetsformatie2025.nl/documenten/2026/01/30/budgettaire-tabel-en-bijlage-bij-coalitieakkoord-aan-de-slag</w:t>
        </w:r>
      </w:hyperlink>
      <w:r w:rsidRPr="004C751E">
        <w:rPr>
          <w:rFonts w:eastAsiaTheme="minorHAnsi"/>
          <w:noProof/>
          <w:sz w:val="22"/>
          <w:szCs w:val="22"/>
          <w:lang w:val="en-IE" w:eastAsia="en-US"/>
        </w:rPr>
        <w:t xml:space="preserve">. </w:t>
      </w:r>
    </w:p>
    <w:p w14:paraId="72505626" w14:textId="77777777" w:rsidR="0079415B" w:rsidRPr="004C751E" w:rsidRDefault="0079415B" w:rsidP="00D76AF1">
      <w:pPr>
        <w:spacing w:after="120"/>
        <w:rPr>
          <w:rFonts w:eastAsiaTheme="minorHAnsi"/>
          <w:noProof/>
          <w:sz w:val="22"/>
          <w:szCs w:val="22"/>
          <w:lang w:val="en-IE" w:eastAsia="en-US"/>
        </w:rPr>
      </w:pPr>
      <w:r w:rsidRPr="004C751E">
        <w:rPr>
          <w:rFonts w:eastAsiaTheme="minorHAnsi"/>
          <w:noProof/>
          <w:sz w:val="22"/>
          <w:szCs w:val="22"/>
          <w:lang w:val="en-IE" w:eastAsia="en-US"/>
        </w:rPr>
        <w:t xml:space="preserve">College of Investigation of Integrity (2026), Annual Report 2025, </w:t>
      </w:r>
      <w:hyperlink r:id="rId29" w:history="1">
        <w:r w:rsidRPr="004C751E">
          <w:rPr>
            <w:rFonts w:eastAsiaTheme="minorHAnsi"/>
            <w:noProof/>
            <w:color w:val="0563C1" w:themeColor="hyperlink"/>
            <w:sz w:val="22"/>
            <w:szCs w:val="22"/>
            <w:u w:val="single"/>
            <w:lang w:val="en-IE" w:eastAsia="en-US"/>
          </w:rPr>
          <w:t>https://www.tweedekamer.nl/sites/default/files/2026-03/Jaarverslag%202025%20van%20het%20College%20van%20onderzoek%20integriteit.pdf</w:t>
        </w:r>
      </w:hyperlink>
      <w:r w:rsidRPr="004C751E">
        <w:rPr>
          <w:rFonts w:eastAsiaTheme="minorHAnsi"/>
          <w:noProof/>
          <w:sz w:val="22"/>
          <w:szCs w:val="22"/>
          <w:lang w:val="en-IE" w:eastAsia="en-US"/>
        </w:rPr>
        <w:t xml:space="preserve">. </w:t>
      </w:r>
    </w:p>
    <w:p w14:paraId="0F05E49F" w14:textId="77777777" w:rsidR="0079415B" w:rsidRPr="004C751E" w:rsidRDefault="0079415B" w:rsidP="00D76AF1">
      <w:pPr>
        <w:spacing w:after="120"/>
        <w:rPr>
          <w:rFonts w:eastAsiaTheme="minorHAnsi"/>
          <w:noProof/>
          <w:sz w:val="22"/>
          <w:szCs w:val="22"/>
          <w:lang w:val="en-IE" w:eastAsia="en-US"/>
        </w:rPr>
      </w:pPr>
      <w:r w:rsidRPr="004C751E">
        <w:rPr>
          <w:rFonts w:eastAsiaTheme="minorHAnsi"/>
          <w:noProof/>
          <w:sz w:val="22"/>
          <w:szCs w:val="22"/>
          <w:lang w:val="en-IE" w:eastAsia="en-US"/>
        </w:rPr>
        <w:t>Council for the Judiciary (2025), Judiciary welcomes proposal for own budget (</w:t>
      </w:r>
      <w:r w:rsidRPr="004C751E">
        <w:rPr>
          <w:rFonts w:eastAsiaTheme="minorHAnsi"/>
          <w:i/>
          <w:iCs/>
          <w:noProof/>
          <w:sz w:val="22"/>
          <w:szCs w:val="22"/>
          <w:lang w:val="en-IE" w:eastAsia="en-US"/>
        </w:rPr>
        <w:t>Rechtspraak verwelkomt voorstel voor eigen begroting</w:t>
      </w:r>
      <w:r w:rsidRPr="004C751E">
        <w:rPr>
          <w:rFonts w:eastAsiaTheme="minorHAnsi"/>
          <w:noProof/>
          <w:sz w:val="22"/>
          <w:szCs w:val="22"/>
          <w:lang w:val="en-IE" w:eastAsia="en-US"/>
        </w:rPr>
        <w:t xml:space="preserve">), 26 March 2025, </w:t>
      </w:r>
      <w:hyperlink r:id="rId30" w:history="1">
        <w:r w:rsidRPr="004C751E">
          <w:rPr>
            <w:rFonts w:eastAsiaTheme="minorHAnsi"/>
            <w:noProof/>
            <w:color w:val="0563C1" w:themeColor="hyperlink"/>
            <w:sz w:val="22"/>
            <w:szCs w:val="22"/>
            <w:u w:val="single"/>
            <w:lang w:val="en-IE" w:eastAsia="en-US"/>
          </w:rPr>
          <w:t>https://www.rechtspraak.nl/organisatie-en-contact/organisatie/raad-voor-de-rechtspraak/nieuws/rechtspraak-verwelkomt-voorstel-voor-eigen-begroting</w:t>
        </w:r>
      </w:hyperlink>
      <w:r w:rsidRPr="004C751E">
        <w:rPr>
          <w:rFonts w:eastAsiaTheme="minorHAnsi"/>
          <w:noProof/>
          <w:sz w:val="22"/>
          <w:szCs w:val="22"/>
          <w:lang w:val="en-IE" w:eastAsia="en-US"/>
        </w:rPr>
        <w:t xml:space="preserve">. </w:t>
      </w:r>
    </w:p>
    <w:p w14:paraId="70206221" w14:textId="77777777" w:rsidR="0079415B" w:rsidRPr="004C751E" w:rsidRDefault="0079415B" w:rsidP="00D76AF1">
      <w:pPr>
        <w:spacing w:after="120"/>
        <w:rPr>
          <w:rFonts w:eastAsiaTheme="minorHAnsi"/>
          <w:noProof/>
          <w:sz w:val="22"/>
          <w:szCs w:val="22"/>
          <w:lang w:val="en-IE" w:eastAsia="en-US"/>
        </w:rPr>
      </w:pPr>
      <w:r w:rsidRPr="004C751E">
        <w:rPr>
          <w:rFonts w:eastAsiaTheme="minorHAnsi"/>
          <w:noProof/>
          <w:sz w:val="22"/>
          <w:szCs w:val="22"/>
          <w:lang w:val="en-IE" w:eastAsia="en-US"/>
        </w:rPr>
        <w:t>Council for the Judiciary (2026), Annual plan for the judiciary 2026 (</w:t>
      </w:r>
      <w:r w:rsidRPr="004C751E">
        <w:rPr>
          <w:rFonts w:eastAsiaTheme="minorHAnsi"/>
          <w:i/>
          <w:iCs/>
          <w:noProof/>
          <w:sz w:val="22"/>
          <w:szCs w:val="22"/>
          <w:lang w:val="en-IE" w:eastAsia="en-US"/>
        </w:rPr>
        <w:t>Jaarplan Rechtspraak 2026</w:t>
      </w:r>
      <w:r w:rsidRPr="004C751E">
        <w:rPr>
          <w:rFonts w:eastAsiaTheme="minorHAnsi"/>
          <w:noProof/>
          <w:sz w:val="22"/>
          <w:szCs w:val="22"/>
          <w:lang w:val="en-IE" w:eastAsia="en-US"/>
        </w:rPr>
        <w:t xml:space="preserve">), 13 January 2026, </w:t>
      </w:r>
      <w:hyperlink r:id="rId31" w:history="1">
        <w:r w:rsidRPr="004C751E">
          <w:rPr>
            <w:rStyle w:val="Hyperlink"/>
            <w:rFonts w:eastAsiaTheme="minorHAnsi"/>
            <w:noProof/>
            <w:sz w:val="22"/>
            <w:szCs w:val="22"/>
            <w:lang w:val="en-IE" w:eastAsia="en-US"/>
          </w:rPr>
          <w:t>https://www.rechtspraak.nl/binaries/_rts_1768901819918/content/assets/rvdr/jd/rvdr-jd-jaarplan-van-de-rechtspraak-2026.pdf</w:t>
        </w:r>
      </w:hyperlink>
      <w:r w:rsidRPr="004C751E">
        <w:rPr>
          <w:rFonts w:eastAsiaTheme="minorHAnsi"/>
          <w:noProof/>
          <w:sz w:val="22"/>
          <w:szCs w:val="22"/>
          <w:lang w:val="en-IE" w:eastAsia="en-US"/>
        </w:rPr>
        <w:t xml:space="preserve">. </w:t>
      </w:r>
    </w:p>
    <w:p w14:paraId="256178F0" w14:textId="06571EF4" w:rsidR="0079415B" w:rsidRPr="004C751E" w:rsidRDefault="0079415B" w:rsidP="00D76AF1">
      <w:pPr>
        <w:spacing w:after="120"/>
        <w:rPr>
          <w:rFonts w:eastAsia="Calibri"/>
          <w:i/>
          <w:iCs/>
          <w:noProof/>
          <w:sz w:val="22"/>
          <w:szCs w:val="22"/>
          <w:lang w:val="en-IE" w:eastAsia="en-US"/>
        </w:rPr>
      </w:pPr>
      <w:r w:rsidRPr="004C751E">
        <w:rPr>
          <w:rFonts w:eastAsia="Calibri"/>
          <w:noProof/>
          <w:sz w:val="22"/>
          <w:szCs w:val="22"/>
          <w:lang w:val="en-IE" w:eastAsia="en-US"/>
        </w:rPr>
        <w:t>Council for the Judiciary (2026a),</w:t>
      </w:r>
      <w:r w:rsidRPr="004C751E">
        <w:rPr>
          <w:rFonts w:eastAsia="Calibri"/>
          <w:i/>
          <w:iCs/>
          <w:noProof/>
          <w:sz w:val="22"/>
          <w:szCs w:val="22"/>
          <w:lang w:val="en-IE" w:eastAsia="en-US"/>
        </w:rPr>
        <w:t xml:space="preserve"> </w:t>
      </w:r>
      <w:r w:rsidR="009C2C37" w:rsidRPr="004C751E">
        <w:rPr>
          <w:rFonts w:eastAsia="Calibri"/>
          <w:i/>
          <w:iCs/>
          <w:noProof/>
          <w:sz w:val="22"/>
          <w:szCs w:val="22"/>
          <w:lang w:val="en-IE" w:eastAsia="en-US"/>
        </w:rPr>
        <w:t>additional written input from the Council for the Judiciary for the 2026 Rule of Law Report.</w:t>
      </w:r>
    </w:p>
    <w:p w14:paraId="276946DC" w14:textId="0E77A546" w:rsidR="0079415B" w:rsidRPr="004C751E" w:rsidRDefault="0079415B" w:rsidP="00D76AF1">
      <w:pPr>
        <w:spacing w:after="120"/>
        <w:rPr>
          <w:rFonts w:eastAsia="Calibri"/>
          <w:noProof/>
          <w:sz w:val="22"/>
          <w:szCs w:val="22"/>
          <w:lang w:val="en-IE" w:eastAsia="en-US"/>
        </w:rPr>
      </w:pPr>
      <w:r w:rsidRPr="004C751E">
        <w:rPr>
          <w:rFonts w:eastAsia="Calibri"/>
          <w:noProof/>
          <w:sz w:val="22"/>
          <w:szCs w:val="22"/>
          <w:lang w:val="en-IE" w:eastAsia="en-US"/>
        </w:rPr>
        <w:t xml:space="preserve">Council for the Judiciary (2026b), Annual report 2025 (Jaarverslag 2025), 23 April 2026, </w:t>
      </w:r>
      <w:hyperlink r:id="rId32" w:history="1">
        <w:r w:rsidRPr="004C751E">
          <w:rPr>
            <w:rStyle w:val="Hyperlink"/>
            <w:rFonts w:eastAsia="Calibri"/>
            <w:noProof/>
            <w:sz w:val="22"/>
            <w:szCs w:val="22"/>
            <w:lang w:val="en-IE" w:eastAsia="en-US"/>
          </w:rPr>
          <w:t>https://www.rechtspraak.nl/binaries/_rts_1776914786729/content/assets/rvdr/jd/rvdr-jd-jaarverslag-rechtspraak-2025.pdf</w:t>
        </w:r>
      </w:hyperlink>
      <w:r w:rsidRPr="004C751E">
        <w:rPr>
          <w:rFonts w:eastAsia="Calibri"/>
          <w:noProof/>
          <w:sz w:val="22"/>
          <w:szCs w:val="22"/>
          <w:lang w:val="en-IE" w:eastAsia="en-US"/>
        </w:rPr>
        <w:t xml:space="preserve">. </w:t>
      </w:r>
    </w:p>
    <w:p w14:paraId="34853E27" w14:textId="77777777" w:rsidR="00EF4384" w:rsidRPr="004C751E" w:rsidRDefault="00EF4384" w:rsidP="00D76AF1">
      <w:pPr>
        <w:spacing w:after="120"/>
        <w:rPr>
          <w:rFonts w:eastAsiaTheme="minorHAnsi"/>
          <w:noProof/>
          <w:sz w:val="22"/>
          <w:szCs w:val="22"/>
          <w:lang w:val="en-IE" w:eastAsia="en-US"/>
        </w:rPr>
      </w:pPr>
      <w:r w:rsidRPr="004C751E">
        <w:rPr>
          <w:rFonts w:eastAsiaTheme="minorHAnsi"/>
          <w:noProof/>
          <w:sz w:val="22"/>
          <w:szCs w:val="22"/>
          <w:lang w:val="en-IE" w:eastAsia="en-US"/>
        </w:rPr>
        <w:t xml:space="preserve">Council of Europe (2026), </w:t>
      </w:r>
      <w:r w:rsidRPr="004C751E">
        <w:rPr>
          <w:rFonts w:eastAsiaTheme="minorHAnsi"/>
          <w:i/>
          <w:iCs/>
          <w:noProof/>
          <w:sz w:val="22"/>
          <w:szCs w:val="22"/>
          <w:lang w:val="en-IE" w:eastAsia="en-US"/>
        </w:rPr>
        <w:t>Supervision of the execution of judgments decisions of the European Court of Human Rights – 19th Annual Report of the Committee of Ministers – 2025,</w:t>
      </w:r>
      <w:r w:rsidRPr="004C751E">
        <w:rPr>
          <w:rFonts w:eastAsiaTheme="minorHAnsi"/>
          <w:noProof/>
          <w:sz w:val="22"/>
          <w:szCs w:val="22"/>
          <w:lang w:val="en-IE" w:eastAsia="en-US"/>
        </w:rPr>
        <w:t xml:space="preserve"> </w:t>
      </w:r>
      <w:hyperlink r:id="rId33" w:history="1">
        <w:r w:rsidRPr="004C751E">
          <w:rPr>
            <w:rFonts w:eastAsiaTheme="minorHAnsi"/>
            <w:noProof/>
            <w:color w:val="0563C1" w:themeColor="hyperlink"/>
            <w:sz w:val="22"/>
            <w:szCs w:val="22"/>
            <w:u w:val="single"/>
            <w:lang w:val="en-IE" w:eastAsia="en-US"/>
          </w:rPr>
          <w:t>https://rm.coe.int/2025-annual-report/48802b1633</w:t>
        </w:r>
      </w:hyperlink>
      <w:r w:rsidRPr="004C751E">
        <w:rPr>
          <w:rFonts w:eastAsiaTheme="minorHAnsi"/>
          <w:noProof/>
          <w:sz w:val="22"/>
          <w:szCs w:val="22"/>
          <w:lang w:val="en-IE" w:eastAsia="en-US"/>
        </w:rPr>
        <w:t xml:space="preserve">. </w:t>
      </w:r>
    </w:p>
    <w:p w14:paraId="5DB4FAD5" w14:textId="77777777" w:rsidR="009E1400" w:rsidRPr="004C751E" w:rsidRDefault="009E1400" w:rsidP="00D76AF1">
      <w:pPr>
        <w:spacing w:after="120"/>
        <w:rPr>
          <w:rFonts w:eastAsiaTheme="minorHAnsi"/>
          <w:noProof/>
          <w:sz w:val="22"/>
          <w:szCs w:val="22"/>
          <w:lang w:val="en-IE" w:eastAsia="en-US"/>
        </w:rPr>
      </w:pPr>
      <w:r w:rsidRPr="004C751E">
        <w:rPr>
          <w:rFonts w:eastAsiaTheme="minorHAnsi"/>
          <w:noProof/>
          <w:sz w:val="22"/>
          <w:szCs w:val="22"/>
          <w:lang w:val="en-IE" w:eastAsia="en-US"/>
        </w:rPr>
        <w:t xml:space="preserve">Council of Europe (2025), Council of Europe Convention for the Protection of the Profession of Lawyer, 13 May 2025, </w:t>
      </w:r>
      <w:hyperlink r:id="rId34" w:tgtFrame="_blank" w:history="1">
        <w:r w:rsidRPr="004C751E">
          <w:rPr>
            <w:rFonts w:eastAsiaTheme="minorHAnsi"/>
            <w:noProof/>
            <w:color w:val="0563C1" w:themeColor="hyperlink"/>
            <w:sz w:val="22"/>
            <w:szCs w:val="22"/>
            <w:u w:val="single"/>
            <w:lang w:val="en-IE" w:eastAsia="en-US"/>
          </w:rPr>
          <w:t>https://rm.coe.int/1680b4c6be</w:t>
        </w:r>
      </w:hyperlink>
      <w:r w:rsidRPr="004C751E">
        <w:rPr>
          <w:rFonts w:eastAsiaTheme="minorHAnsi"/>
          <w:noProof/>
          <w:sz w:val="22"/>
          <w:szCs w:val="22"/>
          <w:lang w:val="en-IE" w:eastAsia="en-US"/>
        </w:rPr>
        <w:t xml:space="preserve">. </w:t>
      </w:r>
    </w:p>
    <w:p w14:paraId="48FE2D91" w14:textId="77777777" w:rsidR="009E1400" w:rsidRPr="004C751E" w:rsidRDefault="009E1400" w:rsidP="00D76AF1">
      <w:pPr>
        <w:spacing w:after="120"/>
        <w:rPr>
          <w:rFonts w:eastAsia="Calibri"/>
          <w:noProof/>
          <w:sz w:val="22"/>
          <w:szCs w:val="22"/>
          <w:lang w:val="en-IE" w:eastAsia="en-US"/>
        </w:rPr>
      </w:pPr>
      <w:r w:rsidRPr="004C751E">
        <w:rPr>
          <w:rFonts w:eastAsia="Calibri"/>
          <w:noProof/>
          <w:sz w:val="22"/>
          <w:szCs w:val="22"/>
          <w:lang w:val="en-IE" w:eastAsia="en-US"/>
        </w:rPr>
        <w:t xml:space="preserve">Council of Europe (2010), Recommendation of the Committee of Ministers to member states on judges: independence, efficiency and responsibilities, 17 November 2011, CM/Rec(2010)12, </w:t>
      </w:r>
      <w:hyperlink r:id="rId35" w:history="1">
        <w:r w:rsidRPr="004C751E">
          <w:rPr>
            <w:rFonts w:eastAsia="Calibri"/>
            <w:noProof/>
            <w:color w:val="0000FF"/>
            <w:sz w:val="22"/>
            <w:szCs w:val="22"/>
            <w:u w:val="single"/>
            <w:lang w:val="en-IE" w:eastAsia="en-US"/>
          </w:rPr>
          <w:t>https://search.coe.int/cm?i=09000016805afb78</w:t>
        </w:r>
      </w:hyperlink>
      <w:r w:rsidRPr="004C751E">
        <w:rPr>
          <w:rFonts w:eastAsia="Calibri"/>
          <w:noProof/>
          <w:sz w:val="22"/>
          <w:szCs w:val="22"/>
          <w:lang w:val="en-IE" w:eastAsia="en-US"/>
        </w:rPr>
        <w:t xml:space="preserve">. </w:t>
      </w:r>
    </w:p>
    <w:p w14:paraId="62BDF2D9" w14:textId="77777777" w:rsidR="0079415B" w:rsidRPr="004C751E" w:rsidRDefault="0079415B" w:rsidP="00D76AF1">
      <w:pPr>
        <w:spacing w:after="120"/>
        <w:rPr>
          <w:rFonts w:eastAsiaTheme="minorHAnsi"/>
          <w:noProof/>
          <w:sz w:val="22"/>
          <w:szCs w:val="22"/>
          <w:lang w:val="en-IE" w:eastAsia="en-US"/>
        </w:rPr>
      </w:pPr>
      <w:r w:rsidRPr="004C751E">
        <w:rPr>
          <w:rFonts w:eastAsiaTheme="minorHAnsi"/>
          <w:noProof/>
          <w:sz w:val="22"/>
          <w:szCs w:val="22"/>
          <w:lang w:val="en-IE" w:eastAsia="en-US"/>
        </w:rPr>
        <w:t>Council of Europe (2000), Recommendation No. R(2000)21 of the Committee of Ministers to member States on the freedom of exercise of the profession of lawyer, 25 October 2000, </w:t>
      </w:r>
      <w:hyperlink r:id="rId36" w:tgtFrame="_blank" w:history="1">
        <w:r w:rsidRPr="004C751E">
          <w:rPr>
            <w:rFonts w:eastAsiaTheme="minorHAnsi"/>
            <w:noProof/>
            <w:color w:val="0563C1" w:themeColor="hyperlink"/>
            <w:sz w:val="22"/>
            <w:szCs w:val="22"/>
            <w:u w:val="single"/>
            <w:lang w:val="en-IE" w:eastAsia="en-US"/>
          </w:rPr>
          <w:t>https://search.coe.int/cm?i=09000016804d0fc8</w:t>
        </w:r>
      </w:hyperlink>
      <w:r w:rsidRPr="004C751E">
        <w:rPr>
          <w:rFonts w:eastAsiaTheme="minorHAnsi"/>
          <w:noProof/>
          <w:sz w:val="22"/>
          <w:szCs w:val="22"/>
          <w:lang w:val="en-IE" w:eastAsia="en-US"/>
        </w:rPr>
        <w:t xml:space="preserve">. </w:t>
      </w:r>
    </w:p>
    <w:p w14:paraId="223B75F7" w14:textId="77777777" w:rsidR="00EF4384" w:rsidRPr="004C751E" w:rsidRDefault="00EF4384" w:rsidP="00D76AF1">
      <w:pPr>
        <w:spacing w:after="120"/>
        <w:rPr>
          <w:rFonts w:eastAsia="Calibri"/>
          <w:i/>
          <w:iCs/>
          <w:noProof/>
          <w:sz w:val="22"/>
          <w:szCs w:val="22"/>
          <w:lang w:val="en-IE" w:eastAsia="en-US"/>
        </w:rPr>
      </w:pPr>
      <w:r w:rsidRPr="004C751E">
        <w:rPr>
          <w:rFonts w:eastAsia="Calibri"/>
          <w:noProof/>
          <w:sz w:val="22"/>
          <w:szCs w:val="22"/>
          <w:lang w:val="en-IE" w:eastAsia="en-US"/>
        </w:rPr>
        <w:t xml:space="preserve">Council of State (2026), </w:t>
      </w:r>
      <w:r w:rsidRPr="004C751E">
        <w:rPr>
          <w:rFonts w:eastAsia="Calibri"/>
          <w:i/>
          <w:iCs/>
          <w:noProof/>
          <w:sz w:val="22"/>
          <w:szCs w:val="22"/>
          <w:lang w:val="en-IE" w:eastAsia="en-US"/>
        </w:rPr>
        <w:t>Input from the Council of State for the 2026 Rule of Law Report.</w:t>
      </w:r>
    </w:p>
    <w:p w14:paraId="5E29379B" w14:textId="1E484AE6" w:rsidR="00EF4384" w:rsidRPr="004C751E" w:rsidRDefault="00EF4384" w:rsidP="00D76AF1">
      <w:pPr>
        <w:spacing w:after="120"/>
        <w:rPr>
          <w:rFonts w:eastAsia="Calibri"/>
          <w:noProof/>
          <w:sz w:val="22"/>
          <w:szCs w:val="22"/>
          <w:lang w:val="en-IE" w:eastAsia="en-US"/>
        </w:rPr>
      </w:pPr>
      <w:r w:rsidRPr="004C751E">
        <w:rPr>
          <w:rFonts w:eastAsiaTheme="minorHAnsi"/>
          <w:noProof/>
          <w:sz w:val="22"/>
          <w:szCs w:val="22"/>
          <w:lang w:val="en-IE" w:eastAsia="en-US"/>
        </w:rPr>
        <w:t xml:space="preserve">Council of State (2026a), </w:t>
      </w:r>
      <w:r w:rsidRPr="004C751E">
        <w:rPr>
          <w:rFonts w:eastAsiaTheme="minorHAnsi"/>
          <w:i/>
          <w:noProof/>
          <w:sz w:val="22"/>
          <w:szCs w:val="22"/>
          <w:lang w:val="en-IE" w:eastAsia="en-US"/>
        </w:rPr>
        <w:t>Advice on the amendments of Members of Parliament Sneller and Tseggai on the law on political parties</w:t>
      </w:r>
      <w:r w:rsidRPr="004C751E">
        <w:rPr>
          <w:rFonts w:eastAsiaTheme="minorHAnsi"/>
          <w:noProof/>
          <w:sz w:val="22"/>
          <w:szCs w:val="22"/>
          <w:lang w:val="en-IE" w:eastAsia="en-US"/>
        </w:rPr>
        <w:t xml:space="preserve">, 18 May 2026, </w:t>
      </w:r>
      <w:hyperlink r:id="rId37" w:history="1">
        <w:r w:rsidRPr="004C751E">
          <w:rPr>
            <w:rFonts w:eastAsiaTheme="minorHAnsi"/>
            <w:noProof/>
            <w:color w:val="0563C1" w:themeColor="hyperlink"/>
            <w:sz w:val="22"/>
            <w:szCs w:val="22"/>
            <w:u w:val="single"/>
            <w:lang w:val="en-IE" w:eastAsia="en-US"/>
          </w:rPr>
          <w:t>https://www.raadvanstate.nl/adviezen/@156044/w04-26-00006/</w:t>
        </w:r>
      </w:hyperlink>
      <w:r w:rsidR="007F5A84" w:rsidRPr="004C751E">
        <w:rPr>
          <w:noProof/>
          <w:sz w:val="22"/>
          <w:szCs w:val="22"/>
        </w:rPr>
        <w:t>.</w:t>
      </w:r>
      <w:r w:rsidRPr="004C751E">
        <w:rPr>
          <w:rFonts w:eastAsiaTheme="minorHAnsi"/>
          <w:noProof/>
          <w:sz w:val="22"/>
          <w:szCs w:val="22"/>
          <w:lang w:val="en-IE" w:eastAsia="en-US"/>
        </w:rPr>
        <w:t xml:space="preserve"> </w:t>
      </w:r>
    </w:p>
    <w:p w14:paraId="2C55A6D8" w14:textId="0C62830D" w:rsidR="0079415B" w:rsidRPr="004C751E" w:rsidRDefault="0079415B" w:rsidP="00D76AF1">
      <w:pPr>
        <w:spacing w:after="120"/>
        <w:rPr>
          <w:rFonts w:eastAsiaTheme="minorHAnsi"/>
          <w:noProof/>
          <w:sz w:val="22"/>
          <w:szCs w:val="22"/>
          <w:lang w:val="en-IE" w:eastAsia="en-US"/>
        </w:rPr>
      </w:pPr>
      <w:r w:rsidRPr="004C751E">
        <w:rPr>
          <w:rFonts w:eastAsiaTheme="minorHAnsi"/>
          <w:noProof/>
          <w:sz w:val="22"/>
          <w:szCs w:val="22"/>
          <w:lang w:val="en-IE" w:eastAsia="en-US"/>
        </w:rPr>
        <w:t xml:space="preserve">Council of State (2025a), </w:t>
      </w:r>
      <w:r w:rsidR="00EA2912">
        <w:rPr>
          <w:rFonts w:eastAsiaTheme="minorHAnsi"/>
          <w:noProof/>
          <w:sz w:val="22"/>
          <w:szCs w:val="22"/>
          <w:lang w:val="en-IE" w:eastAsia="en-US"/>
        </w:rPr>
        <w:t>Pieces of advice</w:t>
      </w:r>
      <w:r w:rsidRPr="004C751E">
        <w:rPr>
          <w:rFonts w:eastAsiaTheme="minorHAnsi"/>
          <w:noProof/>
          <w:sz w:val="22"/>
          <w:szCs w:val="22"/>
          <w:lang w:val="en-IE" w:eastAsia="en-US"/>
        </w:rPr>
        <w:t xml:space="preserve"> on prosecution and adju</w:t>
      </w:r>
      <w:r w:rsidR="009B700A">
        <w:rPr>
          <w:rFonts w:eastAsiaTheme="minorHAnsi"/>
          <w:noProof/>
          <w:sz w:val="22"/>
          <w:szCs w:val="22"/>
          <w:lang w:val="en-IE" w:eastAsia="en-US"/>
        </w:rPr>
        <w:t>di</w:t>
      </w:r>
      <w:r w:rsidRPr="004C751E">
        <w:rPr>
          <w:rFonts w:eastAsiaTheme="minorHAnsi"/>
          <w:noProof/>
          <w:sz w:val="22"/>
          <w:szCs w:val="22"/>
          <w:lang w:val="en-IE" w:eastAsia="en-US"/>
        </w:rPr>
        <w:t xml:space="preserve">cation of Members of Parliament and Ministers for offences arising during the mandate, 22 December 2025, </w:t>
      </w:r>
      <w:hyperlink r:id="rId38" w:history="1">
        <w:r w:rsidRPr="004C751E">
          <w:rPr>
            <w:rFonts w:eastAsiaTheme="minorHAnsi"/>
            <w:noProof/>
            <w:color w:val="0563C1" w:themeColor="hyperlink"/>
            <w:sz w:val="22"/>
            <w:szCs w:val="22"/>
            <w:u w:val="single"/>
            <w:lang w:val="en-IE" w:eastAsia="en-US"/>
          </w:rPr>
          <w:t>https://www.raadvanstate.nl/actueel/nieuws/december/adviezen-vervolging-wegens-ambtsdelicten/</w:t>
        </w:r>
      </w:hyperlink>
      <w:r w:rsidRPr="004C751E">
        <w:rPr>
          <w:rFonts w:eastAsiaTheme="minorHAnsi"/>
          <w:noProof/>
          <w:sz w:val="22"/>
          <w:szCs w:val="22"/>
          <w:lang w:val="en-IE" w:eastAsia="en-US"/>
        </w:rPr>
        <w:t>.</w:t>
      </w:r>
    </w:p>
    <w:p w14:paraId="6E471BF5" w14:textId="7A8E4D6B" w:rsidR="00EF4384" w:rsidRPr="004C751E" w:rsidRDefault="009E1400" w:rsidP="00D76AF1">
      <w:pPr>
        <w:spacing w:after="120"/>
        <w:rPr>
          <w:rFonts w:eastAsiaTheme="minorHAnsi"/>
          <w:noProof/>
          <w:sz w:val="22"/>
          <w:szCs w:val="22"/>
          <w:lang w:val="en-IE" w:eastAsia="en-US"/>
        </w:rPr>
      </w:pPr>
      <w:r w:rsidRPr="004C751E">
        <w:rPr>
          <w:rFonts w:eastAsiaTheme="minorHAnsi"/>
          <w:noProof/>
          <w:sz w:val="22"/>
          <w:szCs w:val="22"/>
          <w:lang w:val="en-IE" w:eastAsia="en-US"/>
        </w:rPr>
        <w:t>Council of State (2020), Advice on possible vulnerabilities in the Judiciary Act (RO Act) with regard to the appointment, reappointment, suspension and/or dismissal of members of the Council for the Judiciary and the court management (</w:t>
      </w:r>
      <w:r w:rsidRPr="00903B26">
        <w:rPr>
          <w:rFonts w:eastAsiaTheme="minorHAnsi"/>
          <w:i/>
          <w:iCs/>
          <w:noProof/>
          <w:sz w:val="22"/>
          <w:szCs w:val="22"/>
          <w:lang w:val="en-IE" w:eastAsia="en-US"/>
        </w:rPr>
        <w:t>Advies over mogelijke kwetsbaarheden in de Wet op de rechterlijke organisatie (Wet RO) met betrekking tot de benoeming, herbenoeming, schorsing en/of het ontslag van leden van de Raad voor de rechtspraak en het gerechtsbestuur</w:t>
      </w:r>
      <w:r w:rsidRPr="004C751E">
        <w:rPr>
          <w:rFonts w:eastAsiaTheme="minorHAnsi"/>
          <w:noProof/>
          <w:sz w:val="22"/>
          <w:szCs w:val="22"/>
          <w:lang w:val="en-IE" w:eastAsia="en-US"/>
        </w:rPr>
        <w:t xml:space="preserve">), 23 September 2020 (No.W16.20.0045/II/Vo), </w:t>
      </w:r>
      <w:hyperlink r:id="rId39" w:history="1">
        <w:r w:rsidRPr="004C751E">
          <w:rPr>
            <w:rFonts w:eastAsiaTheme="minorHAnsi"/>
            <w:noProof/>
            <w:color w:val="0563C1" w:themeColor="hyperlink"/>
            <w:sz w:val="22"/>
            <w:szCs w:val="22"/>
            <w:u w:val="single"/>
            <w:lang w:val="en-IE" w:eastAsia="en-US"/>
          </w:rPr>
          <w:t>https://zoek.officielebekendmakingen.nl/blg-953721.pdf</w:t>
        </w:r>
      </w:hyperlink>
      <w:r w:rsidRPr="004C751E">
        <w:rPr>
          <w:rFonts w:eastAsiaTheme="minorHAnsi"/>
          <w:noProof/>
          <w:sz w:val="22"/>
          <w:szCs w:val="22"/>
          <w:lang w:val="en-IE" w:eastAsia="en-US"/>
        </w:rPr>
        <w:t>.</w:t>
      </w:r>
      <w:r w:rsidR="00B94D41" w:rsidRPr="004C751E">
        <w:rPr>
          <w:rFonts w:eastAsiaTheme="minorHAnsi"/>
          <w:noProof/>
          <w:sz w:val="22"/>
          <w:szCs w:val="22"/>
          <w:lang w:val="en-IE" w:eastAsia="en-US"/>
        </w:rPr>
        <w:t xml:space="preserve"> </w:t>
      </w:r>
    </w:p>
    <w:p w14:paraId="3908805D" w14:textId="77777777" w:rsidR="00EF4384" w:rsidRPr="004C751E" w:rsidRDefault="00EF4384" w:rsidP="00D76AF1">
      <w:pPr>
        <w:spacing w:after="120"/>
        <w:rPr>
          <w:rFonts w:eastAsiaTheme="minorHAnsi"/>
          <w:noProof/>
          <w:sz w:val="22"/>
          <w:szCs w:val="22"/>
          <w:lang w:val="en-IE" w:eastAsia="en-US"/>
        </w:rPr>
      </w:pPr>
      <w:r w:rsidRPr="004C751E">
        <w:rPr>
          <w:rFonts w:eastAsiaTheme="minorHAnsi"/>
          <w:noProof/>
          <w:sz w:val="22"/>
          <w:szCs w:val="22"/>
          <w:lang w:val="en-IE" w:eastAsia="en-US"/>
        </w:rPr>
        <w:t>Court of Audit (2026), Minister's approach to improving performance in the criminal justice chain is insufficient (</w:t>
      </w:r>
      <w:r w:rsidRPr="00903B26">
        <w:rPr>
          <w:rFonts w:eastAsiaTheme="minorHAnsi"/>
          <w:i/>
          <w:iCs/>
          <w:noProof/>
          <w:sz w:val="22"/>
          <w:szCs w:val="22"/>
          <w:lang w:val="en-IE" w:eastAsia="en-US"/>
        </w:rPr>
        <w:t>Aanpak minister om prestaties in de strafrechtketen te verbeteren is onvoldoende</w:t>
      </w:r>
      <w:r w:rsidRPr="004C751E">
        <w:rPr>
          <w:rFonts w:eastAsiaTheme="minorHAnsi"/>
          <w:noProof/>
          <w:sz w:val="22"/>
          <w:szCs w:val="22"/>
          <w:lang w:val="en-IE" w:eastAsia="en-US"/>
        </w:rPr>
        <w:t xml:space="preserve">), 20 May 2026, </w:t>
      </w:r>
      <w:hyperlink r:id="rId40" w:history="1">
        <w:r w:rsidRPr="004C751E">
          <w:rPr>
            <w:rFonts w:eastAsiaTheme="minorHAnsi"/>
            <w:noProof/>
            <w:color w:val="0563C1" w:themeColor="hyperlink"/>
            <w:sz w:val="22"/>
            <w:szCs w:val="22"/>
            <w:u w:val="single"/>
            <w:lang w:val="en-IE" w:eastAsia="en-US"/>
          </w:rPr>
          <w:t>https://www.rekenkamer.nl/documenten/2026/05/20/aanpak-minister-om-prestaties-in-de-strafrechtketen-te-verbeteren-is-onvoldoende</w:t>
        </w:r>
      </w:hyperlink>
      <w:r w:rsidRPr="004C751E">
        <w:rPr>
          <w:rFonts w:eastAsiaTheme="minorHAnsi"/>
          <w:noProof/>
          <w:sz w:val="22"/>
          <w:szCs w:val="22"/>
          <w:lang w:val="en-IE" w:eastAsia="en-US"/>
        </w:rPr>
        <w:t xml:space="preserve">. </w:t>
      </w:r>
    </w:p>
    <w:p w14:paraId="1DE190E9" w14:textId="69043AB8" w:rsidR="007F5A84" w:rsidRPr="004C751E" w:rsidRDefault="007F5A84" w:rsidP="00D76AF1">
      <w:pPr>
        <w:spacing w:after="120"/>
        <w:rPr>
          <w:rFonts w:eastAsiaTheme="minorHAnsi"/>
          <w:noProof/>
          <w:sz w:val="22"/>
          <w:szCs w:val="22"/>
          <w:lang w:val="en-IE" w:eastAsia="en-US"/>
        </w:rPr>
      </w:pPr>
      <w:r w:rsidRPr="004C751E">
        <w:rPr>
          <w:rFonts w:eastAsiaTheme="minorHAnsi"/>
          <w:noProof/>
          <w:sz w:val="22"/>
          <w:szCs w:val="22"/>
          <w:lang w:val="en-IE" w:eastAsia="en-US"/>
        </w:rPr>
        <w:t>Court of Audit (2025), Points of attention for the draft budget 2026 budget chapter VI of the Ministry of Justice and Security (</w:t>
      </w:r>
      <w:r w:rsidRPr="00903B26">
        <w:rPr>
          <w:rFonts w:eastAsiaTheme="minorHAnsi"/>
          <w:i/>
          <w:noProof/>
          <w:sz w:val="22"/>
          <w:szCs w:val="22"/>
          <w:lang w:val="en-IE" w:eastAsia="en-US"/>
        </w:rPr>
        <w:t>Aandachtspunten bij de ontwerpbegroting 2026 begrotingshoofdstuk VI van het ministerie van Justitie en Veiligheid</w:t>
      </w:r>
      <w:r w:rsidRPr="004C751E">
        <w:rPr>
          <w:rFonts w:eastAsiaTheme="minorHAnsi"/>
          <w:noProof/>
          <w:sz w:val="22"/>
          <w:szCs w:val="22"/>
          <w:lang w:val="en-IE" w:eastAsia="en-US"/>
        </w:rPr>
        <w:t xml:space="preserve">), 23 September 2025 (25004206 R), </w:t>
      </w:r>
      <w:hyperlink r:id="rId41" w:history="1">
        <w:r w:rsidRPr="004C751E">
          <w:rPr>
            <w:rFonts w:eastAsiaTheme="minorHAnsi"/>
            <w:noProof/>
            <w:color w:val="0563C1" w:themeColor="hyperlink"/>
            <w:sz w:val="22"/>
            <w:szCs w:val="22"/>
            <w:u w:val="single"/>
            <w:lang w:val="en-IE" w:eastAsia="en-US"/>
          </w:rPr>
          <w:t>https://www.rekenkamer.nl/site/binaries/site-content/collections/documents/2025/09/23/aandachtspunten-bij-de-ontwerpbegroting-2026-van-het-ministerie-van-justitie-en-veiligheid/Brief+JenV+PAC24.pdf</w:t>
        </w:r>
      </w:hyperlink>
      <w:r w:rsidRPr="004C751E">
        <w:rPr>
          <w:noProof/>
          <w:sz w:val="22"/>
          <w:szCs w:val="22"/>
        </w:rPr>
        <w:t>.</w:t>
      </w:r>
    </w:p>
    <w:p w14:paraId="16313B17" w14:textId="77777777" w:rsidR="0079415B" w:rsidRPr="004C751E" w:rsidRDefault="0079415B" w:rsidP="00D76AF1">
      <w:pPr>
        <w:spacing w:after="120"/>
        <w:rPr>
          <w:rFonts w:eastAsiaTheme="minorHAnsi"/>
          <w:noProof/>
          <w:sz w:val="22"/>
          <w:szCs w:val="22"/>
          <w:lang w:val="en-IE" w:eastAsia="en-US"/>
        </w:rPr>
      </w:pPr>
      <w:r w:rsidRPr="004C751E">
        <w:rPr>
          <w:rFonts w:eastAsiaTheme="minorHAnsi"/>
          <w:noProof/>
          <w:sz w:val="22"/>
          <w:szCs w:val="22"/>
          <w:lang w:val="en-IE" w:eastAsia="en-US"/>
        </w:rPr>
        <w:t>Custodial Institutions Agency (2025), Fact sheet Visual supervision in the AIT and ECI - for legal aid providers (</w:t>
      </w:r>
      <w:r w:rsidRPr="00903B26">
        <w:rPr>
          <w:rFonts w:eastAsiaTheme="minorHAnsi"/>
          <w:i/>
          <w:iCs/>
          <w:noProof/>
          <w:sz w:val="22"/>
          <w:szCs w:val="22"/>
          <w:lang w:val="en-IE" w:eastAsia="en-US"/>
        </w:rPr>
        <w:t>Informatieblad Visueel toezicht in de AIT en EBI - voor rechtsbijstandverleners</w:t>
      </w:r>
      <w:r w:rsidRPr="004C751E">
        <w:rPr>
          <w:rFonts w:eastAsiaTheme="minorHAnsi"/>
          <w:noProof/>
          <w:sz w:val="22"/>
          <w:szCs w:val="22"/>
          <w:lang w:val="en-IE" w:eastAsia="en-US"/>
        </w:rPr>
        <w:t xml:space="preserve">), 15 December 2025, </w:t>
      </w:r>
      <w:hyperlink r:id="rId42" w:history="1">
        <w:r w:rsidRPr="004C751E">
          <w:rPr>
            <w:rFonts w:eastAsiaTheme="minorHAnsi"/>
            <w:noProof/>
            <w:color w:val="0563C1" w:themeColor="hyperlink"/>
            <w:sz w:val="22"/>
            <w:szCs w:val="22"/>
            <w:u w:val="single"/>
            <w:lang w:val="en-IE" w:eastAsia="en-US"/>
          </w:rPr>
          <w:t>https://www.dji.nl/documenten/2025/07/10/infoblad-visueel-toezicht-in-de-ait-en-ebi---voor-rechtsbijstandsverleners</w:t>
        </w:r>
      </w:hyperlink>
      <w:r w:rsidRPr="004C751E">
        <w:rPr>
          <w:rFonts w:eastAsiaTheme="minorHAnsi"/>
          <w:noProof/>
          <w:sz w:val="22"/>
          <w:szCs w:val="22"/>
          <w:lang w:val="en-IE" w:eastAsia="en-US"/>
        </w:rPr>
        <w:t xml:space="preserve">. </w:t>
      </w:r>
    </w:p>
    <w:p w14:paraId="79B4A9E2" w14:textId="66E7C8FB" w:rsidR="0079415B" w:rsidRPr="004C751E" w:rsidRDefault="0079415B" w:rsidP="00D76AF1">
      <w:pPr>
        <w:spacing w:after="120"/>
        <w:rPr>
          <w:rFonts w:eastAsiaTheme="minorHAnsi"/>
          <w:noProof/>
          <w:sz w:val="22"/>
          <w:szCs w:val="22"/>
          <w:lang w:val="bg-BG" w:eastAsia="en-US"/>
        </w:rPr>
      </w:pPr>
      <w:r w:rsidRPr="004C751E">
        <w:rPr>
          <w:rFonts w:eastAsiaTheme="minorHAnsi"/>
          <w:noProof/>
          <w:sz w:val="22"/>
          <w:szCs w:val="22"/>
          <w:lang w:val="en-IE" w:eastAsia="en-US"/>
        </w:rPr>
        <w:t>CvdM (2025a), Progress report by the national public broadcasters following up on the report of the Broadcasting Conduct and Culture Investigation Committee (</w:t>
      </w:r>
      <w:r w:rsidRPr="00903B26">
        <w:rPr>
          <w:rFonts w:eastAsiaTheme="minorHAnsi"/>
          <w:i/>
          <w:iCs/>
          <w:noProof/>
          <w:sz w:val="22"/>
          <w:szCs w:val="22"/>
          <w:lang w:val="en-IE" w:eastAsia="en-US"/>
        </w:rPr>
        <w:t>Voortgang opvolging rapport van de Onderzoekscommissie Gedrag en Cultuur Omroepen door de landelijke publieke omroepen</w:t>
      </w:r>
      <w:r w:rsidRPr="004C751E">
        <w:rPr>
          <w:rFonts w:eastAsiaTheme="minorHAnsi"/>
          <w:i/>
          <w:iCs/>
          <w:noProof/>
          <w:sz w:val="22"/>
          <w:szCs w:val="22"/>
          <w:lang w:val="en-IE" w:eastAsia="en-US"/>
        </w:rPr>
        <w:t>)</w:t>
      </w:r>
      <w:r w:rsidRPr="004C751E">
        <w:rPr>
          <w:rFonts w:eastAsiaTheme="minorHAnsi"/>
          <w:noProof/>
          <w:sz w:val="22"/>
          <w:szCs w:val="22"/>
          <w:lang w:val="en-IE" w:eastAsia="en-US"/>
        </w:rPr>
        <w:t xml:space="preserve">, </w:t>
      </w:r>
      <w:hyperlink r:id="rId43" w:history="1">
        <w:r w:rsidR="00E45C7C" w:rsidRPr="004C751E">
          <w:rPr>
            <w:rStyle w:val="Hyperlink"/>
            <w:noProof/>
            <w:sz w:val="22"/>
            <w:szCs w:val="22"/>
          </w:rPr>
          <w:t>https://www.rijksoverheid.nl/documenten/2025/11/01/voortgang-opvolging-rapport-van-de-onderzoekscommissie-gedrag-en-cultuur-omroepen-door-de-landelijke-publieke-omroepen</w:t>
        </w:r>
      </w:hyperlink>
      <w:r w:rsidRPr="004C751E">
        <w:rPr>
          <w:rFonts w:eastAsiaTheme="minorHAnsi"/>
          <w:noProof/>
          <w:sz w:val="22"/>
          <w:szCs w:val="22"/>
          <w:lang w:val="en-IE" w:eastAsia="en-US"/>
        </w:rPr>
        <w:t>.</w:t>
      </w:r>
      <w:r w:rsidR="00B94D41" w:rsidRPr="004C751E">
        <w:rPr>
          <w:rFonts w:eastAsiaTheme="minorHAnsi"/>
          <w:noProof/>
          <w:sz w:val="22"/>
          <w:szCs w:val="22"/>
          <w:lang w:val="en-IE" w:eastAsia="en-US"/>
        </w:rPr>
        <w:t xml:space="preserve"> </w:t>
      </w:r>
    </w:p>
    <w:p w14:paraId="22E63CB6" w14:textId="6A850953" w:rsidR="0079415B" w:rsidRPr="000E28B9" w:rsidRDefault="0079415B" w:rsidP="00D76AF1">
      <w:pPr>
        <w:spacing w:after="120"/>
        <w:rPr>
          <w:rFonts w:eastAsiaTheme="minorHAnsi"/>
          <w:noProof/>
          <w:sz w:val="22"/>
          <w:szCs w:val="22"/>
          <w:lang w:val="en-US" w:eastAsia="en-US"/>
        </w:rPr>
      </w:pPr>
      <w:r w:rsidRPr="004C751E">
        <w:rPr>
          <w:rFonts w:eastAsiaTheme="minorHAnsi"/>
          <w:noProof/>
          <w:sz w:val="22"/>
          <w:szCs w:val="22"/>
          <w:lang w:val="nl-BE" w:eastAsia="en-US"/>
        </w:rPr>
        <w:t>CvdM</w:t>
      </w:r>
      <w:r w:rsidRPr="004C751E">
        <w:rPr>
          <w:rFonts w:eastAsiaTheme="minorHAnsi"/>
          <w:noProof/>
          <w:sz w:val="22"/>
          <w:szCs w:val="22"/>
          <w:lang w:val="bg-BG" w:eastAsia="en-US"/>
        </w:rPr>
        <w:t xml:space="preserve"> (2025), </w:t>
      </w:r>
      <w:r w:rsidRPr="00EA2912">
        <w:rPr>
          <w:rFonts w:eastAsiaTheme="minorHAnsi"/>
          <w:noProof/>
          <w:sz w:val="22"/>
          <w:szCs w:val="22"/>
          <w:lang w:val="en-IE" w:eastAsia="en-US"/>
        </w:rPr>
        <w:t>Multi</w:t>
      </w:r>
      <w:r w:rsidRPr="00903B26">
        <w:rPr>
          <w:rFonts w:eastAsiaTheme="minorHAnsi"/>
          <w:noProof/>
          <w:sz w:val="22"/>
          <w:szCs w:val="22"/>
          <w:lang w:val="bg-BG" w:eastAsia="en-US"/>
        </w:rPr>
        <w:t>-</w:t>
      </w:r>
      <w:r w:rsidRPr="00EA2912">
        <w:rPr>
          <w:rFonts w:eastAsiaTheme="minorHAnsi"/>
          <w:noProof/>
          <w:sz w:val="22"/>
          <w:szCs w:val="22"/>
          <w:lang w:val="en-IE" w:eastAsia="en-US"/>
        </w:rPr>
        <w:t>Year</w:t>
      </w:r>
      <w:r w:rsidRPr="00903B26">
        <w:rPr>
          <w:rFonts w:eastAsiaTheme="minorHAnsi"/>
          <w:noProof/>
          <w:sz w:val="22"/>
          <w:szCs w:val="22"/>
          <w:lang w:val="bg-BG" w:eastAsia="en-US"/>
        </w:rPr>
        <w:t xml:space="preserve"> </w:t>
      </w:r>
      <w:r w:rsidRPr="00EA2912">
        <w:rPr>
          <w:rFonts w:eastAsiaTheme="minorHAnsi"/>
          <w:noProof/>
          <w:sz w:val="22"/>
          <w:szCs w:val="22"/>
          <w:lang w:val="en-IE" w:eastAsia="en-US"/>
        </w:rPr>
        <w:t>Strategy</w:t>
      </w:r>
      <w:r w:rsidRPr="00903B26">
        <w:rPr>
          <w:rFonts w:eastAsiaTheme="minorHAnsi"/>
          <w:noProof/>
          <w:sz w:val="22"/>
          <w:szCs w:val="22"/>
          <w:lang w:val="bg-BG" w:eastAsia="en-US"/>
        </w:rPr>
        <w:t xml:space="preserve"> 2025–2030: </w:t>
      </w:r>
      <w:r w:rsidRPr="00EA2912">
        <w:rPr>
          <w:rFonts w:eastAsiaTheme="minorHAnsi"/>
          <w:noProof/>
          <w:sz w:val="22"/>
          <w:szCs w:val="22"/>
          <w:lang w:val="en-IE" w:eastAsia="en-US"/>
        </w:rPr>
        <w:t>Supervision</w:t>
      </w:r>
      <w:r w:rsidRPr="00903B26">
        <w:rPr>
          <w:rFonts w:eastAsiaTheme="minorHAnsi"/>
          <w:noProof/>
          <w:sz w:val="22"/>
          <w:szCs w:val="22"/>
          <w:lang w:val="bg-BG" w:eastAsia="en-US"/>
        </w:rPr>
        <w:t xml:space="preserve"> </w:t>
      </w:r>
      <w:r w:rsidRPr="00EA2912">
        <w:rPr>
          <w:rFonts w:eastAsiaTheme="minorHAnsi"/>
          <w:noProof/>
          <w:sz w:val="22"/>
          <w:szCs w:val="22"/>
          <w:lang w:val="en-IE" w:eastAsia="en-US"/>
        </w:rPr>
        <w:t>with</w:t>
      </w:r>
      <w:r w:rsidRPr="00903B26">
        <w:rPr>
          <w:rFonts w:eastAsiaTheme="minorHAnsi"/>
          <w:noProof/>
          <w:sz w:val="22"/>
          <w:szCs w:val="22"/>
          <w:lang w:val="bg-BG" w:eastAsia="en-US"/>
        </w:rPr>
        <w:t xml:space="preserve"> </w:t>
      </w:r>
      <w:r w:rsidRPr="00EA2912">
        <w:rPr>
          <w:rFonts w:eastAsiaTheme="minorHAnsi"/>
          <w:noProof/>
          <w:sz w:val="22"/>
          <w:szCs w:val="22"/>
          <w:lang w:val="en-IE" w:eastAsia="en-US"/>
        </w:rPr>
        <w:t>Societal</w:t>
      </w:r>
      <w:r w:rsidRPr="00903B26">
        <w:rPr>
          <w:rFonts w:eastAsiaTheme="minorHAnsi"/>
          <w:noProof/>
          <w:sz w:val="22"/>
          <w:szCs w:val="22"/>
          <w:lang w:val="bg-BG" w:eastAsia="en-US"/>
        </w:rPr>
        <w:t xml:space="preserve"> </w:t>
      </w:r>
      <w:r w:rsidRPr="00EA2912">
        <w:rPr>
          <w:rFonts w:eastAsiaTheme="minorHAnsi"/>
          <w:noProof/>
          <w:sz w:val="22"/>
          <w:szCs w:val="22"/>
          <w:lang w:val="en-IE" w:eastAsia="en-US"/>
        </w:rPr>
        <w:t>Impact</w:t>
      </w:r>
      <w:r w:rsidRPr="004C751E">
        <w:rPr>
          <w:rFonts w:eastAsiaTheme="minorHAnsi"/>
          <w:noProof/>
          <w:sz w:val="22"/>
          <w:szCs w:val="22"/>
          <w:lang w:val="bg-BG" w:eastAsia="en-US"/>
        </w:rPr>
        <w:t xml:space="preserve"> (</w:t>
      </w:r>
      <w:r w:rsidRPr="00EA2912">
        <w:rPr>
          <w:rFonts w:eastAsiaTheme="minorHAnsi"/>
          <w:i/>
          <w:noProof/>
          <w:sz w:val="22"/>
          <w:szCs w:val="22"/>
          <w:lang w:val="nl-NL" w:eastAsia="en-US"/>
        </w:rPr>
        <w:t>Meerjarenstrategie</w:t>
      </w:r>
      <w:r w:rsidRPr="00903B26">
        <w:rPr>
          <w:rFonts w:eastAsiaTheme="minorHAnsi"/>
          <w:i/>
          <w:noProof/>
          <w:sz w:val="22"/>
          <w:szCs w:val="22"/>
          <w:lang w:val="bg-BG" w:eastAsia="en-US"/>
        </w:rPr>
        <w:t xml:space="preserve"> 2025 – 2030: </w:t>
      </w:r>
      <w:r w:rsidRPr="00EA2912">
        <w:rPr>
          <w:rFonts w:eastAsiaTheme="minorHAnsi"/>
          <w:i/>
          <w:noProof/>
          <w:sz w:val="22"/>
          <w:szCs w:val="22"/>
          <w:lang w:val="nl-NL" w:eastAsia="en-US"/>
        </w:rPr>
        <w:t>Toezicht</w:t>
      </w:r>
      <w:r w:rsidRPr="00903B26">
        <w:rPr>
          <w:rFonts w:eastAsiaTheme="minorHAnsi"/>
          <w:i/>
          <w:noProof/>
          <w:sz w:val="22"/>
          <w:szCs w:val="22"/>
          <w:lang w:val="bg-BG" w:eastAsia="en-US"/>
        </w:rPr>
        <w:t xml:space="preserve"> </w:t>
      </w:r>
      <w:r w:rsidRPr="00EA2912">
        <w:rPr>
          <w:rFonts w:eastAsiaTheme="minorHAnsi"/>
          <w:i/>
          <w:noProof/>
          <w:sz w:val="22"/>
          <w:szCs w:val="22"/>
          <w:lang w:val="nl-NL" w:eastAsia="en-US"/>
        </w:rPr>
        <w:t>met</w:t>
      </w:r>
      <w:r w:rsidRPr="00903B26">
        <w:rPr>
          <w:rFonts w:eastAsiaTheme="minorHAnsi"/>
          <w:i/>
          <w:noProof/>
          <w:sz w:val="22"/>
          <w:szCs w:val="22"/>
          <w:lang w:val="bg-BG" w:eastAsia="en-US"/>
        </w:rPr>
        <w:t xml:space="preserve"> </w:t>
      </w:r>
      <w:r w:rsidRPr="00EA2912">
        <w:rPr>
          <w:rFonts w:eastAsiaTheme="minorHAnsi"/>
          <w:i/>
          <w:noProof/>
          <w:sz w:val="22"/>
          <w:szCs w:val="22"/>
          <w:lang w:val="nl-NL" w:eastAsia="en-US"/>
        </w:rPr>
        <w:t>maatschappelijke</w:t>
      </w:r>
      <w:r w:rsidRPr="00903B26">
        <w:rPr>
          <w:rFonts w:eastAsiaTheme="minorHAnsi"/>
          <w:i/>
          <w:noProof/>
          <w:sz w:val="22"/>
          <w:szCs w:val="22"/>
          <w:lang w:val="bg-BG" w:eastAsia="en-US"/>
        </w:rPr>
        <w:t xml:space="preserve"> </w:t>
      </w:r>
      <w:r w:rsidRPr="00EA2912">
        <w:rPr>
          <w:rFonts w:eastAsiaTheme="minorHAnsi"/>
          <w:i/>
          <w:noProof/>
          <w:sz w:val="22"/>
          <w:szCs w:val="22"/>
          <w:lang w:val="nl-NL" w:eastAsia="en-US"/>
        </w:rPr>
        <w:t>impact</w:t>
      </w:r>
      <w:r w:rsidRPr="004C751E">
        <w:rPr>
          <w:rFonts w:eastAsiaTheme="minorHAnsi"/>
          <w:noProof/>
          <w:sz w:val="22"/>
          <w:szCs w:val="22"/>
          <w:lang w:val="bg-BG" w:eastAsia="en-US"/>
        </w:rPr>
        <w:t>),</w:t>
      </w:r>
      <w:r w:rsidR="00AF21E9" w:rsidRPr="004C751E">
        <w:rPr>
          <w:rFonts w:eastAsiaTheme="minorHAnsi"/>
          <w:noProof/>
          <w:sz w:val="22"/>
          <w:szCs w:val="22"/>
          <w:lang w:val="bg-BG" w:eastAsia="en-US"/>
        </w:rPr>
        <w:t xml:space="preserve"> </w:t>
      </w:r>
      <w:hyperlink r:id="rId44" w:history="1">
        <w:r w:rsidR="000E28B9" w:rsidRPr="000F6EC8">
          <w:rPr>
            <w:rStyle w:val="Hyperlink"/>
            <w:rFonts w:eastAsiaTheme="minorHAnsi"/>
            <w:noProof/>
            <w:sz w:val="22"/>
            <w:szCs w:val="22"/>
            <w:lang w:val="bg-BG" w:eastAsia="en-US"/>
          </w:rPr>
          <w:t>https://www.cvdm.nl/nieuws/meerjarenstrategie-2025-2030-toezicht-met-maatschappelijke-impact/</w:t>
        </w:r>
      </w:hyperlink>
      <w:r w:rsidR="000E28B9" w:rsidRPr="000E28B9">
        <w:rPr>
          <w:rFonts w:eastAsiaTheme="minorHAnsi"/>
          <w:noProof/>
          <w:sz w:val="22"/>
          <w:szCs w:val="22"/>
          <w:lang w:val="en-US" w:eastAsia="en-US"/>
        </w:rPr>
        <w:t>.</w:t>
      </w:r>
      <w:r w:rsidR="000E28B9">
        <w:rPr>
          <w:rFonts w:eastAsiaTheme="minorHAnsi"/>
          <w:noProof/>
          <w:sz w:val="22"/>
          <w:szCs w:val="22"/>
          <w:lang w:val="en-US" w:eastAsia="en-US"/>
        </w:rPr>
        <w:t xml:space="preserve"> </w:t>
      </w:r>
    </w:p>
    <w:p w14:paraId="1150749D" w14:textId="77777777" w:rsidR="00EF4384" w:rsidRPr="004C751E" w:rsidRDefault="00EF4384" w:rsidP="00D76AF1">
      <w:pPr>
        <w:spacing w:after="120"/>
        <w:rPr>
          <w:i/>
          <w:noProof/>
          <w:sz w:val="22"/>
          <w:szCs w:val="22"/>
          <w:lang w:eastAsia="en-GB"/>
        </w:rPr>
      </w:pPr>
      <w:r w:rsidRPr="004C751E">
        <w:rPr>
          <w:iCs/>
          <w:noProof/>
          <w:sz w:val="22"/>
          <w:szCs w:val="22"/>
          <w:lang w:eastAsia="en-GB"/>
        </w:rPr>
        <w:t>Directorate-General for Communication (2026),</w:t>
      </w:r>
      <w:r w:rsidRPr="004C751E">
        <w:rPr>
          <w:i/>
          <w:noProof/>
          <w:sz w:val="22"/>
          <w:szCs w:val="22"/>
          <w:lang w:eastAsia="en-GB"/>
        </w:rPr>
        <w:t xml:space="preserve"> Flash Eurobarometer 582 on businesses’ attitudes towards corruption in the EU and selected candidate countries. </w:t>
      </w:r>
    </w:p>
    <w:p w14:paraId="56965452" w14:textId="77777777" w:rsidR="00EF4384" w:rsidRPr="004C751E" w:rsidRDefault="00EF4384" w:rsidP="00D76AF1">
      <w:pPr>
        <w:spacing w:after="120"/>
        <w:rPr>
          <w:i/>
          <w:noProof/>
          <w:sz w:val="22"/>
          <w:szCs w:val="22"/>
          <w:lang w:val="en-IE" w:eastAsia="en-GB"/>
        </w:rPr>
      </w:pPr>
      <w:r w:rsidRPr="004C751E">
        <w:rPr>
          <w:iCs/>
          <w:noProof/>
          <w:sz w:val="22"/>
          <w:szCs w:val="22"/>
          <w:lang w:eastAsia="en-GB"/>
        </w:rPr>
        <w:t>Directorate-General for Communication (2026),</w:t>
      </w:r>
      <w:r w:rsidRPr="004C751E">
        <w:rPr>
          <w:i/>
          <w:noProof/>
          <w:sz w:val="22"/>
          <w:szCs w:val="22"/>
          <w:lang w:eastAsia="en-GB"/>
        </w:rPr>
        <w:t xml:space="preserve"> Special Eurobarometer 573 on citizens’ attitudes toward corruption in the EU.</w:t>
      </w:r>
    </w:p>
    <w:p w14:paraId="602DAAD9" w14:textId="0C880B7B" w:rsidR="0079415B" w:rsidRPr="004C751E" w:rsidRDefault="0079415B" w:rsidP="00D76AF1">
      <w:pPr>
        <w:spacing w:after="120"/>
        <w:rPr>
          <w:rFonts w:eastAsiaTheme="minorHAnsi"/>
          <w:i/>
          <w:iCs/>
          <w:noProof/>
          <w:sz w:val="22"/>
          <w:szCs w:val="22"/>
          <w:lang w:val="en-IE" w:eastAsia="en-US"/>
        </w:rPr>
      </w:pPr>
      <w:r w:rsidRPr="004C751E">
        <w:rPr>
          <w:rFonts w:eastAsiaTheme="minorHAnsi"/>
          <w:noProof/>
          <w:sz w:val="22"/>
          <w:szCs w:val="22"/>
          <w:lang w:val="en-IE" w:eastAsia="en-US"/>
        </w:rPr>
        <w:t xml:space="preserve">Dutch Police (2026), </w:t>
      </w:r>
      <w:r w:rsidRPr="004C751E">
        <w:rPr>
          <w:rFonts w:eastAsia="Calibri"/>
          <w:i/>
          <w:iCs/>
          <w:noProof/>
          <w:sz w:val="22"/>
          <w:szCs w:val="22"/>
          <w:lang w:val="en-IE" w:eastAsia="en-US"/>
        </w:rPr>
        <w:t>Input from the Dutch Police for the 2026 Rule of Law Report</w:t>
      </w:r>
      <w:r w:rsidRPr="004C751E">
        <w:rPr>
          <w:rFonts w:eastAsiaTheme="minorHAnsi"/>
          <w:i/>
          <w:iCs/>
          <w:noProof/>
          <w:sz w:val="22"/>
          <w:szCs w:val="22"/>
          <w:lang w:val="en-IE" w:eastAsia="en-US"/>
        </w:rPr>
        <w:t xml:space="preserve">. </w:t>
      </w:r>
    </w:p>
    <w:p w14:paraId="53003799" w14:textId="13D337BA" w:rsidR="0079415B" w:rsidRPr="004C751E" w:rsidRDefault="0079415B" w:rsidP="00D76AF1">
      <w:pPr>
        <w:spacing w:after="120"/>
        <w:rPr>
          <w:rFonts w:eastAsiaTheme="minorHAnsi"/>
          <w:i/>
          <w:noProof/>
          <w:sz w:val="22"/>
          <w:szCs w:val="22"/>
          <w:lang w:val="en-IE" w:eastAsia="en-US"/>
        </w:rPr>
      </w:pPr>
      <w:r w:rsidRPr="004C751E">
        <w:rPr>
          <w:rFonts w:eastAsiaTheme="minorHAnsi"/>
          <w:noProof/>
          <w:sz w:val="22"/>
          <w:szCs w:val="22"/>
          <w:lang w:val="en-IE" w:eastAsia="en-US"/>
        </w:rPr>
        <w:t>Dutch Whistleblower’s Authority (2026),</w:t>
      </w:r>
      <w:r w:rsidRPr="004C751E">
        <w:rPr>
          <w:rFonts w:eastAsiaTheme="minorHAnsi"/>
          <w:i/>
          <w:iCs/>
          <w:noProof/>
          <w:sz w:val="22"/>
          <w:szCs w:val="22"/>
          <w:lang w:val="en-IE" w:eastAsia="en-US"/>
        </w:rPr>
        <w:t xml:space="preserve"> </w:t>
      </w:r>
      <w:r w:rsidRPr="004C751E">
        <w:rPr>
          <w:rFonts w:eastAsia="Calibri"/>
          <w:i/>
          <w:iCs/>
          <w:noProof/>
          <w:sz w:val="22"/>
          <w:szCs w:val="22"/>
          <w:lang w:val="en-IE" w:eastAsia="en-US"/>
        </w:rPr>
        <w:t>Input from the Dutch Whistleblower’s Authority for the 2026 Rule of Law Report.</w:t>
      </w:r>
    </w:p>
    <w:p w14:paraId="4A61D095" w14:textId="77777777" w:rsidR="0079415B" w:rsidRPr="004C751E" w:rsidRDefault="0079415B" w:rsidP="00D76AF1">
      <w:pPr>
        <w:spacing w:after="120"/>
        <w:rPr>
          <w:rFonts w:eastAsiaTheme="minorHAnsi"/>
          <w:noProof/>
          <w:sz w:val="22"/>
          <w:szCs w:val="22"/>
          <w:lang w:val="en-IE" w:eastAsia="en-US"/>
        </w:rPr>
      </w:pPr>
      <w:r w:rsidRPr="00903B26">
        <w:rPr>
          <w:rFonts w:eastAsiaTheme="minorHAnsi"/>
          <w:noProof/>
          <w:sz w:val="22"/>
          <w:szCs w:val="22"/>
          <w:lang w:val="en-IE" w:eastAsia="en-US"/>
        </w:rPr>
        <w:t>Eerste Kamer</w:t>
      </w:r>
      <w:r w:rsidRPr="004C751E">
        <w:rPr>
          <w:rFonts w:eastAsiaTheme="minorHAnsi"/>
          <w:noProof/>
          <w:sz w:val="22"/>
          <w:szCs w:val="22"/>
          <w:lang w:val="en-IE" w:eastAsia="en-US"/>
        </w:rPr>
        <w:t xml:space="preserve"> (2025), Initiative proposal - Sneller Act on the removal of special powers of instruction of the Public Prosecution Service (</w:t>
      </w:r>
      <w:r w:rsidRPr="00903B26">
        <w:rPr>
          <w:rFonts w:eastAsiaTheme="minorHAnsi"/>
          <w:i/>
          <w:iCs/>
          <w:noProof/>
          <w:sz w:val="22"/>
          <w:szCs w:val="22"/>
          <w:lang w:val="en-IE" w:eastAsia="en-US"/>
        </w:rPr>
        <w:t>Initiatiefvoorstel-Sneller Wet verval bijzondere aanwijzingsbevoegdheid openbaar ministerie</w:t>
      </w:r>
      <w:r w:rsidRPr="004C751E">
        <w:rPr>
          <w:rFonts w:eastAsiaTheme="minorHAnsi"/>
          <w:noProof/>
          <w:sz w:val="22"/>
          <w:szCs w:val="22"/>
          <w:lang w:val="en-IE" w:eastAsia="en-US"/>
        </w:rPr>
        <w:t xml:space="preserve">), (36.125), </w:t>
      </w:r>
      <w:hyperlink r:id="rId45" w:history="1">
        <w:r w:rsidRPr="004C751E">
          <w:rPr>
            <w:rFonts w:eastAsiaTheme="minorHAnsi"/>
            <w:noProof/>
            <w:color w:val="0563C1" w:themeColor="hyperlink"/>
            <w:sz w:val="22"/>
            <w:szCs w:val="22"/>
            <w:u w:val="single"/>
            <w:lang w:val="en-IE" w:eastAsia="en-US"/>
          </w:rPr>
          <w:t>https://www.eerstekamer.nl/wetsvoorstel/36125_initiatiefvoorstel_sneller</w:t>
        </w:r>
      </w:hyperlink>
      <w:r w:rsidRPr="004C751E">
        <w:rPr>
          <w:rFonts w:eastAsiaTheme="minorHAnsi"/>
          <w:noProof/>
          <w:sz w:val="22"/>
          <w:szCs w:val="22"/>
          <w:lang w:val="en-IE" w:eastAsia="en-US"/>
        </w:rPr>
        <w:t xml:space="preserve">. </w:t>
      </w:r>
    </w:p>
    <w:p w14:paraId="258BC277" w14:textId="74980B11" w:rsidR="0079415B" w:rsidRPr="004C751E" w:rsidRDefault="0079415B" w:rsidP="00D76AF1">
      <w:pPr>
        <w:spacing w:after="120"/>
        <w:rPr>
          <w:rFonts w:eastAsiaTheme="minorHAnsi"/>
          <w:noProof/>
          <w:sz w:val="22"/>
          <w:szCs w:val="22"/>
          <w:lang w:val="en-IE" w:eastAsia="en-US"/>
        </w:rPr>
      </w:pPr>
      <w:r w:rsidRPr="004C751E">
        <w:rPr>
          <w:rFonts w:eastAsiaTheme="minorHAnsi"/>
          <w:noProof/>
          <w:sz w:val="22"/>
          <w:szCs w:val="22"/>
          <w:lang w:val="en-IE" w:eastAsia="en-US"/>
        </w:rPr>
        <w:t xml:space="preserve">EPPO (2026), Annual Report 2025, </w:t>
      </w:r>
      <w:hyperlink r:id="rId46" w:history="1">
        <w:r w:rsidRPr="004C751E">
          <w:rPr>
            <w:rStyle w:val="Hyperlink"/>
            <w:rFonts w:eastAsiaTheme="minorHAnsi"/>
            <w:noProof/>
            <w:sz w:val="22"/>
            <w:szCs w:val="22"/>
            <w:lang w:val="en-IE" w:eastAsia="en-US"/>
          </w:rPr>
          <w:t>https://www.eppo.europa.eu/assets/annual-report-2025/pdfs/EPPO_Annual_Report_2025_en.pdf</w:t>
        </w:r>
      </w:hyperlink>
      <w:r w:rsidRPr="004C751E">
        <w:rPr>
          <w:rFonts w:eastAsiaTheme="minorHAnsi"/>
          <w:noProof/>
          <w:sz w:val="22"/>
          <w:szCs w:val="22"/>
          <w:lang w:val="en-IE" w:eastAsia="en-US"/>
        </w:rPr>
        <w:t>.</w:t>
      </w:r>
      <w:r w:rsidR="00B94D41" w:rsidRPr="004C751E">
        <w:rPr>
          <w:rFonts w:eastAsiaTheme="minorHAnsi"/>
          <w:noProof/>
          <w:sz w:val="22"/>
          <w:szCs w:val="22"/>
          <w:lang w:val="en-IE" w:eastAsia="en-US"/>
        </w:rPr>
        <w:t xml:space="preserve"> </w:t>
      </w:r>
    </w:p>
    <w:p w14:paraId="7DB01D01" w14:textId="77777777" w:rsidR="0079415B" w:rsidRPr="004C751E" w:rsidRDefault="0079415B" w:rsidP="00D76AF1">
      <w:pPr>
        <w:spacing w:after="120"/>
        <w:rPr>
          <w:rFonts w:eastAsiaTheme="minorHAnsi"/>
          <w:i/>
          <w:iCs/>
          <w:noProof/>
          <w:sz w:val="22"/>
          <w:szCs w:val="22"/>
          <w:lang w:val="en-IE" w:eastAsia="en-US"/>
        </w:rPr>
      </w:pPr>
      <w:r w:rsidRPr="004C751E">
        <w:rPr>
          <w:rFonts w:eastAsiaTheme="minorHAnsi"/>
          <w:noProof/>
          <w:sz w:val="22"/>
          <w:szCs w:val="22"/>
          <w:lang w:val="en-IE" w:eastAsia="en-US"/>
        </w:rPr>
        <w:t xml:space="preserve">European Association for Judges (2026), </w:t>
      </w:r>
      <w:r w:rsidRPr="004C751E">
        <w:rPr>
          <w:rFonts w:eastAsiaTheme="minorHAnsi"/>
          <w:i/>
          <w:iCs/>
          <w:noProof/>
          <w:sz w:val="22"/>
          <w:szCs w:val="22"/>
          <w:lang w:val="en-IE" w:eastAsia="en-US"/>
        </w:rPr>
        <w:t xml:space="preserve">Input from the European Association for Judges for the 2026 Rule of Law Report. </w:t>
      </w:r>
    </w:p>
    <w:p w14:paraId="5F280D92" w14:textId="1E8C5111" w:rsidR="00561DAF" w:rsidRPr="004C751E" w:rsidRDefault="00561DAF" w:rsidP="00D76AF1">
      <w:pPr>
        <w:spacing w:after="120"/>
        <w:rPr>
          <w:rFonts w:eastAsiaTheme="minorHAnsi"/>
          <w:noProof/>
          <w:sz w:val="22"/>
          <w:szCs w:val="22"/>
          <w:lang w:val="en-IE" w:eastAsia="en-US"/>
        </w:rPr>
      </w:pPr>
      <w:r w:rsidRPr="004C751E">
        <w:rPr>
          <w:rFonts w:eastAsiaTheme="minorHAnsi"/>
          <w:noProof/>
          <w:sz w:val="22"/>
          <w:szCs w:val="22"/>
          <w:lang w:val="en-IE" w:eastAsia="en-US"/>
        </w:rPr>
        <w:t xml:space="preserve">European Centre for Press and Media Freedom (2026), </w:t>
      </w:r>
      <w:r w:rsidRPr="004C751E">
        <w:rPr>
          <w:rFonts w:eastAsiaTheme="minorHAnsi"/>
          <w:i/>
          <w:iCs/>
          <w:noProof/>
          <w:sz w:val="22"/>
          <w:szCs w:val="22"/>
          <w:lang w:val="en-IE" w:eastAsia="en-US"/>
        </w:rPr>
        <w:t>Mapping Media Freedom, the Netherlands country profile</w:t>
      </w:r>
      <w:r w:rsidRPr="004C751E">
        <w:rPr>
          <w:rFonts w:eastAsiaTheme="minorHAnsi"/>
          <w:noProof/>
          <w:sz w:val="22"/>
          <w:szCs w:val="22"/>
          <w:lang w:val="en-IE" w:eastAsia="en-US"/>
        </w:rPr>
        <w:t>, https://www.mappingmediafreedom.org/.</w:t>
      </w:r>
    </w:p>
    <w:p w14:paraId="3A660373" w14:textId="77777777" w:rsidR="00EF4384" w:rsidRPr="001B7002" w:rsidRDefault="00EF4384" w:rsidP="00D76AF1">
      <w:pPr>
        <w:spacing w:after="120"/>
        <w:rPr>
          <w:i/>
          <w:noProof/>
          <w:sz w:val="22"/>
          <w:szCs w:val="22"/>
          <w:lang w:val="en-US" w:eastAsia="en-GB"/>
        </w:rPr>
      </w:pPr>
      <w:r w:rsidRPr="001B7002">
        <w:rPr>
          <w:noProof/>
          <w:sz w:val="22"/>
          <w:szCs w:val="22"/>
          <w:lang w:val="en-US" w:eastAsia="en-GB"/>
        </w:rPr>
        <w:t>European Commission (2026), 2026 EU Justice Scoreboard</w:t>
      </w:r>
      <w:r w:rsidRPr="001B7002">
        <w:rPr>
          <w:i/>
          <w:noProof/>
          <w:sz w:val="22"/>
          <w:szCs w:val="22"/>
          <w:lang w:val="en-US" w:eastAsia="en-GB"/>
        </w:rPr>
        <w:t>.</w:t>
      </w:r>
    </w:p>
    <w:p w14:paraId="12A5EA6D" w14:textId="77777777" w:rsidR="008E4B9F" w:rsidRPr="001B7002" w:rsidRDefault="008E4B9F" w:rsidP="00D76AF1">
      <w:pPr>
        <w:spacing w:after="120"/>
        <w:rPr>
          <w:i/>
          <w:noProof/>
          <w:sz w:val="22"/>
          <w:szCs w:val="22"/>
          <w:lang w:val="en-US" w:eastAsia="en-GB"/>
        </w:rPr>
      </w:pPr>
      <w:r w:rsidRPr="001B7002">
        <w:rPr>
          <w:noProof/>
          <w:sz w:val="22"/>
          <w:szCs w:val="22"/>
          <w:lang w:val="en-US" w:eastAsia="en-GB"/>
        </w:rPr>
        <w:t>European Commission (2025), 2025 EU Justice Scoreboard</w:t>
      </w:r>
      <w:r w:rsidRPr="001B7002">
        <w:rPr>
          <w:i/>
          <w:noProof/>
          <w:sz w:val="22"/>
          <w:szCs w:val="22"/>
          <w:lang w:val="en-US" w:eastAsia="en-GB"/>
        </w:rPr>
        <w:t>.</w:t>
      </w:r>
    </w:p>
    <w:p w14:paraId="17E3D056" w14:textId="77777777" w:rsidR="008E4B9F" w:rsidRPr="004C751E" w:rsidRDefault="008E4B9F" w:rsidP="00D76AF1">
      <w:pPr>
        <w:spacing w:after="120"/>
        <w:rPr>
          <w:i/>
          <w:noProof/>
          <w:sz w:val="22"/>
          <w:szCs w:val="22"/>
          <w:lang w:val="en-IE" w:eastAsia="en-GB"/>
        </w:rPr>
      </w:pPr>
      <w:r w:rsidRPr="004C751E">
        <w:rPr>
          <w:iCs/>
          <w:noProof/>
          <w:sz w:val="22"/>
          <w:szCs w:val="22"/>
          <w:lang w:val="en-IE" w:eastAsia="en-GB"/>
        </w:rPr>
        <w:t>European Commission (2024), 2024 EU Justice Scoreboard</w:t>
      </w:r>
      <w:r w:rsidRPr="004C751E">
        <w:rPr>
          <w:i/>
          <w:noProof/>
          <w:sz w:val="22"/>
          <w:szCs w:val="22"/>
          <w:lang w:val="en-IE" w:eastAsia="en-GB"/>
        </w:rPr>
        <w:t>.</w:t>
      </w:r>
    </w:p>
    <w:p w14:paraId="6CC6205B" w14:textId="77777777" w:rsidR="008E4B9F" w:rsidRPr="004C751E" w:rsidRDefault="008E4B9F" w:rsidP="00D76AF1">
      <w:pPr>
        <w:spacing w:after="120"/>
        <w:rPr>
          <w:rFonts w:eastAsia="Calibri"/>
          <w:noProof/>
          <w:sz w:val="22"/>
          <w:szCs w:val="22"/>
          <w:lang w:val="en-IE" w:eastAsia="en-US"/>
        </w:rPr>
      </w:pPr>
      <w:r w:rsidRPr="004C751E">
        <w:rPr>
          <w:rFonts w:eastAsia="Calibri"/>
          <w:noProof/>
          <w:sz w:val="22"/>
          <w:szCs w:val="22"/>
          <w:lang w:val="en-IE" w:eastAsia="en-US"/>
        </w:rPr>
        <w:t xml:space="preserve">European Commission (2025), 2025 Rule of Law Report, Country Chapter on the rule of law situation in the Netherlands. </w:t>
      </w:r>
    </w:p>
    <w:p w14:paraId="19BC2BD1" w14:textId="77777777" w:rsidR="008E4B9F" w:rsidRPr="004C751E" w:rsidRDefault="008E4B9F" w:rsidP="00D76AF1">
      <w:pPr>
        <w:spacing w:after="120"/>
        <w:rPr>
          <w:rFonts w:eastAsia="Calibri"/>
          <w:noProof/>
          <w:sz w:val="22"/>
          <w:szCs w:val="22"/>
          <w:lang w:val="en-IE" w:eastAsia="en-US"/>
        </w:rPr>
      </w:pPr>
      <w:r w:rsidRPr="004C751E">
        <w:rPr>
          <w:rFonts w:eastAsia="Calibri"/>
          <w:noProof/>
          <w:sz w:val="22"/>
          <w:szCs w:val="22"/>
          <w:lang w:val="en-IE" w:eastAsia="en-US"/>
        </w:rPr>
        <w:t xml:space="preserve">European Commission (2024), 2024 Rule of Law Report, Country Chapter on the rule of law situation in the Netherlands. </w:t>
      </w:r>
    </w:p>
    <w:p w14:paraId="022D79B0" w14:textId="77777777" w:rsidR="0079415B" w:rsidRPr="004C751E" w:rsidRDefault="0079415B" w:rsidP="00D76AF1">
      <w:pPr>
        <w:spacing w:after="120"/>
        <w:rPr>
          <w:rFonts w:eastAsia="Calibri"/>
          <w:noProof/>
          <w:sz w:val="22"/>
          <w:szCs w:val="22"/>
          <w:lang w:val="en-IE" w:eastAsia="en-US"/>
        </w:rPr>
      </w:pPr>
      <w:r w:rsidRPr="004C751E">
        <w:rPr>
          <w:rFonts w:eastAsia="Calibri"/>
          <w:noProof/>
          <w:sz w:val="22"/>
          <w:szCs w:val="22"/>
          <w:lang w:val="en-IE" w:eastAsia="en-US"/>
        </w:rPr>
        <w:t xml:space="preserve">European Commission (2023), 2024 Rule of Law Report, Country Chapter on the rule of law situation in the Netherlands. </w:t>
      </w:r>
    </w:p>
    <w:p w14:paraId="302D2A0A" w14:textId="6E1C0AEC" w:rsidR="007A220D" w:rsidRPr="004C751E" w:rsidRDefault="007A220D" w:rsidP="00D76AF1">
      <w:pPr>
        <w:spacing w:after="120"/>
        <w:rPr>
          <w:rFonts w:eastAsia="Calibri"/>
          <w:noProof/>
          <w:sz w:val="22"/>
          <w:szCs w:val="22"/>
          <w:lang w:val="en-IE" w:eastAsia="en-US"/>
        </w:rPr>
      </w:pPr>
      <w:r w:rsidRPr="004C751E">
        <w:rPr>
          <w:rFonts w:eastAsia="Calibri"/>
          <w:noProof/>
          <w:sz w:val="22"/>
          <w:szCs w:val="22"/>
          <w:lang w:val="en-IE" w:eastAsia="en-US"/>
        </w:rPr>
        <w:t>European Commission (2022), 2022 Rule of Law Report, Country Chapter on the rule of law situation in the Netherlands.</w:t>
      </w:r>
    </w:p>
    <w:p w14:paraId="371FBD04" w14:textId="6960BA38" w:rsidR="008E4B9F" w:rsidRPr="004C751E" w:rsidRDefault="008E4B9F" w:rsidP="00D76AF1">
      <w:pPr>
        <w:spacing w:after="120"/>
        <w:rPr>
          <w:i/>
          <w:noProof/>
          <w:sz w:val="22"/>
          <w:szCs w:val="22"/>
          <w:lang w:val="en-IE" w:eastAsia="en-GB"/>
        </w:rPr>
      </w:pPr>
      <w:r w:rsidRPr="004C751E">
        <w:rPr>
          <w:iCs/>
          <w:noProof/>
          <w:sz w:val="22"/>
          <w:szCs w:val="22"/>
          <w:lang w:val="en-IE" w:eastAsia="en-GB"/>
        </w:rPr>
        <w:t>European Commission (2025), 2025 Single Market and Competitiveness Scoreboard.</w:t>
      </w:r>
    </w:p>
    <w:p w14:paraId="769F26D8" w14:textId="77777777" w:rsidR="0079415B" w:rsidRPr="004C751E" w:rsidRDefault="0079415B" w:rsidP="00D76AF1">
      <w:pPr>
        <w:spacing w:after="120"/>
        <w:rPr>
          <w:rFonts w:eastAsiaTheme="minorHAnsi"/>
          <w:noProof/>
          <w:sz w:val="22"/>
          <w:szCs w:val="22"/>
          <w:lang w:val="en-IE" w:eastAsia="en-US"/>
        </w:rPr>
      </w:pPr>
      <w:r w:rsidRPr="004C751E">
        <w:rPr>
          <w:rFonts w:eastAsiaTheme="minorHAnsi"/>
          <w:noProof/>
          <w:sz w:val="22"/>
          <w:szCs w:val="22"/>
          <w:lang w:val="en-IE" w:eastAsia="en-US"/>
        </w:rPr>
        <w:t xml:space="preserve">European Implementation Network (2026), </w:t>
      </w:r>
      <w:r w:rsidRPr="004C751E">
        <w:rPr>
          <w:rFonts w:eastAsiaTheme="minorHAnsi"/>
          <w:i/>
          <w:iCs/>
          <w:noProof/>
          <w:sz w:val="22"/>
          <w:szCs w:val="22"/>
          <w:lang w:val="en-IE" w:eastAsia="en-US"/>
        </w:rPr>
        <w:t>Input from the European Implementation Network for the 2026 Rule of Law Report</w:t>
      </w:r>
      <w:r w:rsidRPr="004C751E">
        <w:rPr>
          <w:rFonts w:eastAsiaTheme="minorHAnsi"/>
          <w:noProof/>
          <w:sz w:val="22"/>
          <w:szCs w:val="22"/>
          <w:lang w:val="en-IE" w:eastAsia="en-US"/>
        </w:rPr>
        <w:t>.</w:t>
      </w:r>
    </w:p>
    <w:p w14:paraId="52A22507" w14:textId="77777777" w:rsidR="0079415B" w:rsidRPr="004C751E" w:rsidRDefault="0079415B" w:rsidP="00D76AF1">
      <w:pPr>
        <w:spacing w:after="120"/>
        <w:rPr>
          <w:rFonts w:eastAsiaTheme="minorHAnsi"/>
          <w:noProof/>
          <w:sz w:val="22"/>
          <w:szCs w:val="22"/>
          <w:lang w:val="en-IE" w:eastAsia="en-US"/>
        </w:rPr>
      </w:pPr>
      <w:r w:rsidRPr="004C751E">
        <w:rPr>
          <w:rFonts w:eastAsiaTheme="minorHAnsi"/>
          <w:noProof/>
          <w:sz w:val="22"/>
          <w:szCs w:val="22"/>
          <w:lang w:val="en-IE" w:eastAsia="en-US"/>
        </w:rPr>
        <w:t xml:space="preserve">European Network of Councils for the Judiciary (2026), ENCJ contribution for the 2026 European Commission Rule of Law report, </w:t>
      </w:r>
      <w:hyperlink r:id="rId47" w:history="1">
        <w:r w:rsidRPr="004C751E">
          <w:rPr>
            <w:rFonts w:eastAsiaTheme="minorHAnsi"/>
            <w:noProof/>
            <w:color w:val="0563C1" w:themeColor="hyperlink"/>
            <w:sz w:val="22"/>
            <w:szCs w:val="22"/>
            <w:u w:val="single"/>
            <w:lang w:val="en-IE" w:eastAsia="en-US"/>
          </w:rPr>
          <w:t>https://www.encj.eu/index.php/node/867</w:t>
        </w:r>
      </w:hyperlink>
      <w:r w:rsidRPr="004C751E">
        <w:rPr>
          <w:rFonts w:eastAsiaTheme="minorHAnsi"/>
          <w:noProof/>
          <w:sz w:val="22"/>
          <w:szCs w:val="22"/>
          <w:lang w:val="en-IE" w:eastAsia="en-US"/>
        </w:rPr>
        <w:t xml:space="preserve">. </w:t>
      </w:r>
    </w:p>
    <w:p w14:paraId="3173616C" w14:textId="77777777" w:rsidR="0079415B" w:rsidRPr="004C751E" w:rsidRDefault="0079415B" w:rsidP="00D76AF1">
      <w:pPr>
        <w:spacing w:after="120"/>
        <w:rPr>
          <w:rFonts w:eastAsiaTheme="minorHAnsi"/>
          <w:noProof/>
          <w:sz w:val="22"/>
          <w:szCs w:val="22"/>
          <w:lang w:val="en-IE" w:eastAsia="en-US"/>
        </w:rPr>
      </w:pPr>
      <w:r w:rsidRPr="00903B26">
        <w:rPr>
          <w:rFonts w:eastAsiaTheme="minorHAnsi"/>
          <w:noProof/>
          <w:sz w:val="22"/>
          <w:szCs w:val="22"/>
          <w:lang w:val="en-IE" w:eastAsia="en-US"/>
        </w:rPr>
        <w:t>Goede Doelen Nederland</w:t>
      </w:r>
      <w:r w:rsidRPr="004C751E">
        <w:rPr>
          <w:rFonts w:eastAsiaTheme="minorHAnsi"/>
          <w:noProof/>
          <w:sz w:val="22"/>
          <w:szCs w:val="22"/>
          <w:lang w:val="en-IE" w:eastAsia="en-US"/>
        </w:rPr>
        <w:t xml:space="preserve"> (2026), Success: large majority of the Senate rejects Wtmo (</w:t>
      </w:r>
      <w:r w:rsidRPr="00903B26">
        <w:rPr>
          <w:rFonts w:eastAsiaTheme="minorHAnsi"/>
          <w:i/>
          <w:noProof/>
          <w:sz w:val="22"/>
          <w:szCs w:val="22"/>
          <w:lang w:val="en-IE" w:eastAsia="en-US"/>
        </w:rPr>
        <w:t>Succes: grote meerderheid Eerste Kamer verwerpt Wtmo</w:t>
      </w:r>
      <w:r w:rsidRPr="004C751E">
        <w:rPr>
          <w:rFonts w:eastAsiaTheme="minorHAnsi"/>
          <w:noProof/>
          <w:sz w:val="22"/>
          <w:szCs w:val="22"/>
          <w:lang w:val="en-IE" w:eastAsia="en-US"/>
        </w:rPr>
        <w:t xml:space="preserve">), 15 March 2026, available at: </w:t>
      </w:r>
      <w:hyperlink r:id="rId48" w:history="1">
        <w:r w:rsidRPr="004C751E">
          <w:rPr>
            <w:rFonts w:eastAsiaTheme="minorHAnsi"/>
            <w:noProof/>
            <w:color w:val="0563C1" w:themeColor="hyperlink"/>
            <w:sz w:val="22"/>
            <w:szCs w:val="22"/>
            <w:u w:val="single"/>
            <w:lang w:val="en-IE" w:eastAsia="en-US"/>
          </w:rPr>
          <w:t>https://goededoelennederland.nl/over-de-sector/nieuws/succes-grote-meerderheid-eerste-kamer-verwerpt-wtmo</w:t>
        </w:r>
      </w:hyperlink>
      <w:r w:rsidRPr="004C751E">
        <w:rPr>
          <w:rFonts w:eastAsiaTheme="minorHAnsi"/>
          <w:noProof/>
          <w:sz w:val="22"/>
          <w:szCs w:val="22"/>
          <w:lang w:val="en-IE" w:eastAsia="en-US"/>
        </w:rPr>
        <w:t xml:space="preserve">. </w:t>
      </w:r>
    </w:p>
    <w:p w14:paraId="326D4AF2" w14:textId="77777777" w:rsidR="0079415B" w:rsidRPr="004C751E" w:rsidRDefault="0079415B" w:rsidP="00D76AF1">
      <w:pPr>
        <w:spacing w:after="120"/>
        <w:rPr>
          <w:rFonts w:eastAsiaTheme="minorHAnsi"/>
          <w:noProof/>
          <w:sz w:val="22"/>
          <w:szCs w:val="22"/>
          <w:lang w:val="en-IE" w:eastAsia="en-US"/>
        </w:rPr>
      </w:pPr>
      <w:r w:rsidRPr="004C751E">
        <w:rPr>
          <w:rFonts w:eastAsiaTheme="minorHAnsi"/>
          <w:noProof/>
          <w:sz w:val="22"/>
          <w:szCs w:val="22"/>
          <w:lang w:val="en-IE" w:eastAsia="en-US"/>
        </w:rPr>
        <w:t>Government awards (2025), Finalists 2025 (</w:t>
      </w:r>
      <w:r w:rsidRPr="00903B26">
        <w:rPr>
          <w:rFonts w:eastAsiaTheme="minorHAnsi"/>
          <w:i/>
          <w:noProof/>
          <w:sz w:val="22"/>
          <w:szCs w:val="22"/>
          <w:lang w:val="en-IE" w:eastAsia="en-US"/>
        </w:rPr>
        <w:t>Finalisten 2025</w:t>
      </w:r>
      <w:r w:rsidRPr="004C751E">
        <w:rPr>
          <w:rFonts w:eastAsiaTheme="minorHAnsi"/>
          <w:noProof/>
          <w:sz w:val="22"/>
          <w:szCs w:val="22"/>
          <w:lang w:val="en-IE" w:eastAsia="en-US"/>
        </w:rPr>
        <w:t xml:space="preserve">), </w:t>
      </w:r>
      <w:hyperlink r:id="rId49" w:history="1">
        <w:r w:rsidRPr="004C751E">
          <w:rPr>
            <w:rFonts w:eastAsiaTheme="minorHAnsi"/>
            <w:noProof/>
            <w:color w:val="0563C1" w:themeColor="hyperlink"/>
            <w:sz w:val="22"/>
            <w:szCs w:val="22"/>
            <w:u w:val="single"/>
            <w:lang w:val="en-IE" w:eastAsia="en-US"/>
          </w:rPr>
          <w:t>https://www.overheidsawards.nl/overheidsinnovatie/finalistenoivhj-2023-2/</w:t>
        </w:r>
      </w:hyperlink>
      <w:r w:rsidRPr="004C751E">
        <w:rPr>
          <w:rFonts w:eastAsiaTheme="minorHAnsi"/>
          <w:noProof/>
          <w:sz w:val="22"/>
          <w:szCs w:val="22"/>
          <w:lang w:val="en-IE" w:eastAsia="en-US"/>
        </w:rPr>
        <w:t xml:space="preserve">. </w:t>
      </w:r>
    </w:p>
    <w:p w14:paraId="25E0F02B" w14:textId="77777777" w:rsidR="0079415B" w:rsidRPr="004C751E" w:rsidRDefault="0079415B" w:rsidP="00D76AF1">
      <w:pPr>
        <w:spacing w:after="120"/>
        <w:rPr>
          <w:rFonts w:eastAsiaTheme="minorHAnsi"/>
          <w:noProof/>
          <w:sz w:val="22"/>
          <w:szCs w:val="22"/>
          <w:lang w:val="en-IE" w:eastAsia="en-US"/>
        </w:rPr>
      </w:pPr>
      <w:r w:rsidRPr="004C751E">
        <w:rPr>
          <w:rFonts w:eastAsiaTheme="minorHAnsi"/>
          <w:noProof/>
          <w:sz w:val="22"/>
          <w:szCs w:val="22"/>
          <w:lang w:val="en-IE" w:eastAsia="en-US"/>
        </w:rPr>
        <w:t xml:space="preserve">GRECO (2025), </w:t>
      </w:r>
      <w:r w:rsidRPr="004C751E">
        <w:rPr>
          <w:rFonts w:eastAsiaTheme="minorHAnsi"/>
          <w:i/>
          <w:noProof/>
          <w:sz w:val="22"/>
          <w:szCs w:val="22"/>
          <w:lang w:val="en-IE" w:eastAsia="en-US"/>
        </w:rPr>
        <w:t>Fifth Evaluation Round – Addendum to the</w:t>
      </w:r>
      <w:r w:rsidRPr="004C751E">
        <w:rPr>
          <w:rFonts w:eastAsiaTheme="minorHAnsi"/>
          <w:i/>
          <w:noProof/>
          <w:sz w:val="22"/>
          <w:szCs w:val="22"/>
          <w:vertAlign w:val="superscript"/>
          <w:lang w:val="en-IE" w:eastAsia="en-US"/>
        </w:rPr>
        <w:t xml:space="preserve"> </w:t>
      </w:r>
      <w:r w:rsidRPr="004C751E">
        <w:rPr>
          <w:rFonts w:eastAsiaTheme="minorHAnsi"/>
          <w:i/>
          <w:noProof/>
          <w:sz w:val="22"/>
          <w:szCs w:val="22"/>
          <w:lang w:val="en-IE" w:eastAsia="en-US"/>
        </w:rPr>
        <w:t>second compliance report, Netherlands</w:t>
      </w:r>
      <w:r w:rsidRPr="004C751E">
        <w:rPr>
          <w:rFonts w:eastAsiaTheme="minorHAnsi"/>
          <w:noProof/>
          <w:sz w:val="22"/>
          <w:szCs w:val="22"/>
          <w:lang w:val="en-IE" w:eastAsia="en-US"/>
        </w:rPr>
        <w:t xml:space="preserve">, </w:t>
      </w:r>
      <w:hyperlink r:id="rId50" w:history="1">
        <w:r w:rsidRPr="004C751E">
          <w:rPr>
            <w:rFonts w:eastAsiaTheme="minorHAnsi"/>
            <w:noProof/>
            <w:color w:val="0563C1" w:themeColor="hyperlink"/>
            <w:sz w:val="22"/>
            <w:szCs w:val="22"/>
            <w:u w:val="single"/>
            <w:lang w:val="en-IE" w:eastAsia="en-US"/>
          </w:rPr>
          <w:t>https://rm.coe.int/grecorc5-2025-9-final-eng-add-to-the-2nd-compliance-report-netherlands/1680b69223</w:t>
        </w:r>
      </w:hyperlink>
      <w:r w:rsidRPr="004C751E">
        <w:rPr>
          <w:rFonts w:eastAsiaTheme="minorHAnsi"/>
          <w:noProof/>
          <w:sz w:val="22"/>
          <w:szCs w:val="22"/>
          <w:lang w:val="en-IE" w:eastAsia="en-US"/>
        </w:rPr>
        <w:t xml:space="preserve">. </w:t>
      </w:r>
    </w:p>
    <w:p w14:paraId="2D17CF27" w14:textId="34225473" w:rsidR="0079415B" w:rsidRPr="004C751E" w:rsidRDefault="0079415B" w:rsidP="00D76AF1">
      <w:pPr>
        <w:spacing w:after="120"/>
        <w:rPr>
          <w:rFonts w:eastAsiaTheme="minorHAnsi"/>
          <w:noProof/>
          <w:sz w:val="22"/>
          <w:szCs w:val="22"/>
          <w:lang w:val="en-IE" w:eastAsia="en-US"/>
        </w:rPr>
      </w:pPr>
      <w:r w:rsidRPr="004C751E">
        <w:rPr>
          <w:rFonts w:eastAsiaTheme="minorHAnsi"/>
          <w:noProof/>
          <w:sz w:val="22"/>
          <w:szCs w:val="22"/>
          <w:lang w:val="en-IE" w:eastAsia="en-US"/>
        </w:rPr>
        <w:t>Letter of lawyers to Presidents of courts and tribunals and the senior prosecutors (2025), Consequences of amendments to the Penitentiary Principles Act for ECI and AIT (</w:t>
      </w:r>
      <w:r w:rsidRPr="00903B26">
        <w:rPr>
          <w:rFonts w:eastAsiaTheme="minorHAnsi"/>
          <w:i/>
          <w:noProof/>
          <w:sz w:val="22"/>
          <w:szCs w:val="22"/>
          <w:lang w:val="en-IE" w:eastAsia="en-US"/>
        </w:rPr>
        <w:t>Consequenties wijzigingen Penitentiaire Beginselenwet voor EBI en AIT</w:t>
      </w:r>
      <w:r w:rsidRPr="004C751E">
        <w:rPr>
          <w:rFonts w:eastAsiaTheme="minorHAnsi"/>
          <w:noProof/>
          <w:sz w:val="22"/>
          <w:szCs w:val="22"/>
          <w:lang w:val="en-IE" w:eastAsia="en-US"/>
        </w:rPr>
        <w:t xml:space="preserve">), 18 November 2025, </w:t>
      </w:r>
      <w:hyperlink r:id="rId51" w:history="1">
        <w:r w:rsidRPr="004C751E">
          <w:rPr>
            <w:rFonts w:eastAsiaTheme="minorHAnsi"/>
            <w:noProof/>
            <w:color w:val="0563C1" w:themeColor="hyperlink"/>
            <w:sz w:val="22"/>
            <w:szCs w:val="22"/>
            <w:u w:val="single"/>
            <w:lang w:val="en-IE" w:eastAsia="en-US"/>
          </w:rPr>
          <w:t>https://www.recht.nl/s3/attachment/?nref=254290&amp;uref=571836&amp;id=7828xbf3357f101a65cd25f21bce38d2e7c6e</w:t>
        </w:r>
      </w:hyperlink>
      <w:r w:rsidRPr="004C751E">
        <w:rPr>
          <w:rFonts w:eastAsiaTheme="minorHAnsi"/>
          <w:noProof/>
          <w:sz w:val="22"/>
          <w:szCs w:val="22"/>
          <w:lang w:val="en-IE" w:eastAsia="en-US"/>
        </w:rPr>
        <w:t xml:space="preserve">. </w:t>
      </w:r>
    </w:p>
    <w:p w14:paraId="0572D833" w14:textId="77777777" w:rsidR="0079415B" w:rsidRPr="004C751E" w:rsidRDefault="0079415B" w:rsidP="00D76AF1">
      <w:pPr>
        <w:spacing w:after="120"/>
        <w:rPr>
          <w:rFonts w:eastAsiaTheme="minorHAnsi"/>
          <w:noProof/>
          <w:sz w:val="22"/>
          <w:szCs w:val="22"/>
          <w:lang w:val="en-IE" w:eastAsia="en-US"/>
        </w:rPr>
      </w:pPr>
      <w:r w:rsidRPr="004C751E">
        <w:rPr>
          <w:rFonts w:eastAsiaTheme="minorHAnsi"/>
          <w:noProof/>
          <w:sz w:val="22"/>
          <w:szCs w:val="22"/>
          <w:lang w:val="en-IE" w:eastAsia="en-US"/>
        </w:rPr>
        <w:t xml:space="preserve">Letter to Ministers Letschert and Van Weel, signed by </w:t>
      </w:r>
      <w:r w:rsidRPr="00903B26">
        <w:rPr>
          <w:rFonts w:eastAsiaTheme="minorHAnsi"/>
          <w:noProof/>
          <w:sz w:val="22"/>
          <w:szCs w:val="22"/>
          <w:lang w:val="en-IE" w:eastAsia="en-US"/>
        </w:rPr>
        <w:t>NDP Nieuwsmedia, Nederlandse Vereniging van Journalisten, Nederlands Genootschap van Hoofdredacteuren</w:t>
      </w:r>
      <w:r w:rsidRPr="004C751E">
        <w:rPr>
          <w:rFonts w:eastAsiaTheme="minorHAnsi"/>
          <w:noProof/>
          <w:sz w:val="22"/>
          <w:szCs w:val="22"/>
          <w:lang w:val="en-IE" w:eastAsia="en-US"/>
        </w:rPr>
        <w:t xml:space="preserve"> and Free Press Unlimited, 25 February 2026, </w:t>
      </w:r>
      <w:hyperlink r:id="rId52">
        <w:r w:rsidRPr="004C751E">
          <w:rPr>
            <w:rFonts w:eastAsiaTheme="minorHAnsi"/>
            <w:noProof/>
            <w:color w:val="0563C1" w:themeColor="hyperlink"/>
            <w:sz w:val="22"/>
            <w:szCs w:val="22"/>
            <w:u w:val="single"/>
            <w:lang w:val="en-IE" w:eastAsia="en-US"/>
          </w:rPr>
          <w:t>https://nvj.nl/_assets/f/291561/x/03788d3456/brief-minister-letschert-en-van-weel-inzake-veiligheid-van-journalisten.pdf</w:t>
        </w:r>
      </w:hyperlink>
      <w:r w:rsidRPr="004C751E">
        <w:rPr>
          <w:rFonts w:eastAsiaTheme="minorHAnsi"/>
          <w:noProof/>
          <w:sz w:val="22"/>
          <w:szCs w:val="22"/>
          <w:lang w:val="en-IE" w:eastAsia="en-US"/>
        </w:rPr>
        <w:t xml:space="preserve">. </w:t>
      </w:r>
    </w:p>
    <w:p w14:paraId="3115373C" w14:textId="3D2E8F66" w:rsidR="0079415B" w:rsidRPr="004C751E" w:rsidRDefault="0079415B" w:rsidP="00D76AF1">
      <w:pPr>
        <w:spacing w:after="120"/>
        <w:rPr>
          <w:rFonts w:eastAsia="Calibri"/>
          <w:noProof/>
          <w:sz w:val="22"/>
          <w:szCs w:val="22"/>
          <w:lang w:val="en-IE" w:eastAsia="en-US"/>
        </w:rPr>
      </w:pPr>
      <w:r w:rsidRPr="004C751E">
        <w:rPr>
          <w:rFonts w:eastAsia="Calibri"/>
          <w:noProof/>
          <w:sz w:val="22"/>
          <w:szCs w:val="22"/>
          <w:lang w:val="en-IE" w:eastAsia="en-US"/>
        </w:rPr>
        <w:t>Ministry for Justice and Security (2026), Policy agenda Caribbean Netherlands 2026-2030 (</w:t>
      </w:r>
      <w:r w:rsidRPr="00903B26">
        <w:rPr>
          <w:rFonts w:eastAsia="Calibri"/>
          <w:i/>
          <w:iCs/>
          <w:noProof/>
          <w:sz w:val="22"/>
          <w:szCs w:val="22"/>
          <w:lang w:val="en-IE" w:eastAsia="en-US"/>
        </w:rPr>
        <w:t>Beleidsagenda Caribisch Nederland 2026-2030</w:t>
      </w:r>
      <w:r w:rsidRPr="004C751E">
        <w:rPr>
          <w:rFonts w:eastAsia="Calibri"/>
          <w:noProof/>
          <w:sz w:val="22"/>
          <w:szCs w:val="22"/>
          <w:lang w:val="en-IE" w:eastAsia="en-US"/>
        </w:rPr>
        <w:t xml:space="preserve">), 31 March 2026, </w:t>
      </w:r>
      <w:hyperlink r:id="rId53" w:history="1">
        <w:r w:rsidRPr="004C751E">
          <w:rPr>
            <w:rStyle w:val="Hyperlink"/>
            <w:rFonts w:eastAsia="Calibri"/>
            <w:noProof/>
            <w:sz w:val="22"/>
            <w:szCs w:val="22"/>
            <w:lang w:val="en-IE" w:eastAsia="en-US"/>
          </w:rPr>
          <w:t>https://www.tweedekamer.nl/kamerstukken/brieven_regering/detail?id=2026Z06584&amp;did=2026D14885</w:t>
        </w:r>
      </w:hyperlink>
      <w:r w:rsidRPr="004C751E">
        <w:rPr>
          <w:rFonts w:eastAsia="Calibri"/>
          <w:noProof/>
          <w:sz w:val="22"/>
          <w:szCs w:val="22"/>
          <w:lang w:val="en-IE" w:eastAsia="en-US"/>
        </w:rPr>
        <w:t>.</w:t>
      </w:r>
      <w:r w:rsidR="00B94D41" w:rsidRPr="004C751E">
        <w:rPr>
          <w:rFonts w:eastAsia="Calibri"/>
          <w:noProof/>
          <w:sz w:val="22"/>
          <w:szCs w:val="22"/>
          <w:lang w:val="en-IE" w:eastAsia="en-US"/>
        </w:rPr>
        <w:t xml:space="preserve"> </w:t>
      </w:r>
    </w:p>
    <w:p w14:paraId="15F4BEDC" w14:textId="77777777" w:rsidR="0079415B" w:rsidRPr="004C751E" w:rsidRDefault="0079415B" w:rsidP="00D76AF1">
      <w:pPr>
        <w:spacing w:after="120"/>
        <w:rPr>
          <w:rFonts w:eastAsia="Calibri"/>
          <w:noProof/>
          <w:sz w:val="22"/>
          <w:szCs w:val="22"/>
          <w:lang w:val="en-IE" w:eastAsia="en-US"/>
        </w:rPr>
      </w:pPr>
      <w:r w:rsidRPr="004C751E">
        <w:rPr>
          <w:rFonts w:eastAsia="Calibri"/>
          <w:noProof/>
          <w:sz w:val="22"/>
          <w:szCs w:val="22"/>
          <w:lang w:val="en-IE" w:eastAsia="en-US"/>
        </w:rPr>
        <w:t>Ministry of Finance (2026), Spring budget (</w:t>
      </w:r>
      <w:r w:rsidRPr="00903B26">
        <w:rPr>
          <w:rFonts w:eastAsia="Calibri"/>
          <w:i/>
          <w:iCs/>
          <w:noProof/>
          <w:sz w:val="22"/>
          <w:szCs w:val="22"/>
          <w:lang w:val="en-IE" w:eastAsia="en-US"/>
        </w:rPr>
        <w:t>Voorjaarsnota</w:t>
      </w:r>
      <w:r w:rsidRPr="004C751E">
        <w:rPr>
          <w:rFonts w:eastAsia="Calibri"/>
          <w:noProof/>
          <w:sz w:val="22"/>
          <w:szCs w:val="22"/>
          <w:lang w:val="en-IE" w:eastAsia="en-US"/>
        </w:rPr>
        <w:t xml:space="preserve">), </w:t>
      </w:r>
      <w:hyperlink r:id="rId54" w:anchor="12992214" w:history="1">
        <w:r w:rsidRPr="004C751E">
          <w:rPr>
            <w:rFonts w:eastAsia="Calibri"/>
            <w:noProof/>
            <w:color w:val="0000FF"/>
            <w:sz w:val="22"/>
            <w:szCs w:val="22"/>
            <w:u w:val="single"/>
            <w:lang w:val="en-IE" w:eastAsia="en-US"/>
          </w:rPr>
          <w:t>https://www.rijksfinancien.nl/voorjaarsnota/2026#12992214</w:t>
        </w:r>
      </w:hyperlink>
      <w:r w:rsidRPr="004C751E">
        <w:rPr>
          <w:rFonts w:eastAsia="Calibri"/>
          <w:noProof/>
          <w:sz w:val="22"/>
          <w:szCs w:val="22"/>
          <w:lang w:val="en-IE" w:eastAsia="en-US"/>
        </w:rPr>
        <w:t xml:space="preserve">. </w:t>
      </w:r>
    </w:p>
    <w:p w14:paraId="694AAB07" w14:textId="165F8BCD" w:rsidR="0079415B" w:rsidRPr="004C751E" w:rsidRDefault="0079415B" w:rsidP="00D76AF1">
      <w:pPr>
        <w:spacing w:after="120"/>
        <w:rPr>
          <w:rFonts w:eastAsiaTheme="minorHAnsi"/>
          <w:noProof/>
          <w:sz w:val="22"/>
          <w:szCs w:val="22"/>
          <w:lang w:val="en-IE" w:eastAsia="en-US"/>
        </w:rPr>
      </w:pPr>
      <w:r w:rsidRPr="004C751E">
        <w:rPr>
          <w:rFonts w:eastAsiaTheme="minorHAnsi"/>
          <w:noProof/>
          <w:sz w:val="22"/>
          <w:szCs w:val="22"/>
          <w:lang w:val="en-IE" w:eastAsia="en-US"/>
        </w:rPr>
        <w:t>Ministry of Internal Affairs and Kingdom Relations (2026), Transparency of Decision-making – lobby</w:t>
      </w:r>
      <w:r w:rsidR="00E87EA0">
        <w:rPr>
          <w:rFonts w:eastAsiaTheme="minorHAnsi"/>
          <w:noProof/>
          <w:sz w:val="22"/>
          <w:szCs w:val="22"/>
          <w:lang w:val="en-IE" w:eastAsia="en-US"/>
        </w:rPr>
        <w:t xml:space="preserve"> </w:t>
      </w:r>
      <w:r w:rsidRPr="004C751E">
        <w:rPr>
          <w:rFonts w:eastAsiaTheme="minorHAnsi"/>
          <w:noProof/>
          <w:sz w:val="22"/>
          <w:szCs w:val="22"/>
          <w:lang w:val="en-IE" w:eastAsia="en-US"/>
        </w:rPr>
        <w:t>regist</w:t>
      </w:r>
      <w:r w:rsidR="00444568">
        <w:rPr>
          <w:rFonts w:eastAsiaTheme="minorHAnsi"/>
          <w:noProof/>
          <w:sz w:val="22"/>
          <w:szCs w:val="22"/>
          <w:lang w:val="en-IE" w:eastAsia="en-US"/>
        </w:rPr>
        <w:t>er</w:t>
      </w:r>
      <w:r w:rsidRPr="004C751E">
        <w:rPr>
          <w:rFonts w:eastAsiaTheme="minorHAnsi"/>
          <w:noProof/>
          <w:sz w:val="22"/>
          <w:szCs w:val="22"/>
          <w:lang w:val="en-IE" w:eastAsia="en-US"/>
        </w:rPr>
        <w:t xml:space="preserve">, Letter to the House of Representatives (Nr. 303), 8 May 2026, </w:t>
      </w:r>
      <w:hyperlink r:id="rId55" w:history="1">
        <w:r w:rsidRPr="004C751E">
          <w:rPr>
            <w:rStyle w:val="Hyperlink"/>
            <w:rFonts w:eastAsiaTheme="minorHAnsi"/>
            <w:noProof/>
            <w:sz w:val="22"/>
            <w:szCs w:val="22"/>
            <w:lang w:val="en-IE" w:eastAsia="en-US"/>
          </w:rPr>
          <w:t>https://www.tweedekamer.nl/downloads/document?id=2026D21257</w:t>
        </w:r>
      </w:hyperlink>
      <w:r w:rsidRPr="004C751E">
        <w:rPr>
          <w:rFonts w:eastAsiaTheme="minorHAnsi"/>
          <w:noProof/>
          <w:sz w:val="22"/>
          <w:szCs w:val="22"/>
          <w:lang w:val="en-IE" w:eastAsia="en-US"/>
        </w:rPr>
        <w:t xml:space="preserve">. </w:t>
      </w:r>
    </w:p>
    <w:p w14:paraId="709012B7" w14:textId="77777777" w:rsidR="0079415B" w:rsidRPr="004C751E" w:rsidRDefault="0079415B" w:rsidP="00D76AF1">
      <w:pPr>
        <w:spacing w:after="120"/>
        <w:rPr>
          <w:rFonts w:eastAsiaTheme="minorHAnsi"/>
          <w:noProof/>
          <w:sz w:val="22"/>
          <w:szCs w:val="22"/>
          <w:lang w:val="en-IE" w:eastAsia="en-US"/>
        </w:rPr>
      </w:pPr>
      <w:r w:rsidRPr="004C751E">
        <w:rPr>
          <w:rFonts w:eastAsiaTheme="minorHAnsi"/>
          <w:noProof/>
          <w:sz w:val="22"/>
          <w:szCs w:val="22"/>
          <w:lang w:val="en-IE" w:eastAsia="en-US"/>
        </w:rPr>
        <w:t>National coordinator against discrimination and racism (2025), Finally a service for legal aid and equal treatment in the Caribbean Netherlands (</w:t>
      </w:r>
      <w:r w:rsidRPr="00903B26">
        <w:rPr>
          <w:rFonts w:eastAsiaTheme="minorHAnsi"/>
          <w:i/>
          <w:iCs/>
          <w:noProof/>
          <w:sz w:val="22"/>
          <w:szCs w:val="22"/>
          <w:lang w:val="en-IE" w:eastAsia="en-US"/>
        </w:rPr>
        <w:t>Eindelijk een voorziening voor rechtshulp en gelijke behandeling in Caribisch Nederland</w:t>
      </w:r>
      <w:r w:rsidRPr="004C751E">
        <w:rPr>
          <w:rFonts w:eastAsiaTheme="minorHAnsi"/>
          <w:noProof/>
          <w:sz w:val="22"/>
          <w:szCs w:val="22"/>
          <w:lang w:val="en-IE" w:eastAsia="en-US"/>
        </w:rPr>
        <w:t xml:space="preserve">), 5 November 2025, </w:t>
      </w:r>
      <w:hyperlink r:id="rId56" w:history="1">
        <w:r w:rsidRPr="004C751E">
          <w:rPr>
            <w:rFonts w:eastAsiaTheme="minorHAnsi"/>
            <w:noProof/>
            <w:color w:val="0563C1" w:themeColor="hyperlink"/>
            <w:sz w:val="22"/>
            <w:szCs w:val="22"/>
            <w:u w:val="single"/>
            <w:lang w:val="en-IE" w:eastAsia="en-US"/>
          </w:rPr>
          <w:t>https://www.bureauncdr.nl/actueel/nieuws/2025/11/05/eindelijk-een-voorziening-voor-rechtshulp-en-gelijke-behandeling-in-caribisch-nederland</w:t>
        </w:r>
      </w:hyperlink>
      <w:r w:rsidRPr="004C751E">
        <w:rPr>
          <w:rFonts w:eastAsiaTheme="minorHAnsi"/>
          <w:noProof/>
          <w:sz w:val="22"/>
          <w:szCs w:val="22"/>
          <w:lang w:val="en-IE" w:eastAsia="en-US"/>
        </w:rPr>
        <w:t xml:space="preserve">. </w:t>
      </w:r>
    </w:p>
    <w:p w14:paraId="622AFB40" w14:textId="77777777" w:rsidR="0079415B" w:rsidRPr="004C751E" w:rsidRDefault="0079415B" w:rsidP="00D76AF1">
      <w:pPr>
        <w:spacing w:after="120"/>
        <w:rPr>
          <w:rFonts w:eastAsiaTheme="minorHAnsi"/>
          <w:noProof/>
          <w:sz w:val="22"/>
          <w:szCs w:val="22"/>
          <w:lang w:val="en-IE" w:eastAsia="en-US"/>
        </w:rPr>
      </w:pPr>
      <w:r w:rsidRPr="004C751E">
        <w:rPr>
          <w:rFonts w:eastAsiaTheme="minorHAnsi"/>
          <w:noProof/>
          <w:sz w:val="22"/>
          <w:szCs w:val="22"/>
          <w:lang w:val="en-IE" w:eastAsia="en-US"/>
        </w:rPr>
        <w:t>National Ombudsman (2026), Public version Annual Report 2025 Doing what is necessary (</w:t>
      </w:r>
      <w:r w:rsidRPr="00903B26">
        <w:rPr>
          <w:rFonts w:eastAsiaTheme="minorHAnsi"/>
          <w:i/>
          <w:iCs/>
          <w:noProof/>
          <w:sz w:val="22"/>
          <w:szCs w:val="22"/>
          <w:lang w:val="en-IE" w:eastAsia="en-US"/>
        </w:rPr>
        <w:t>Publieksversie Jaarverslag 2025 Doen wat nodig is</w:t>
      </w:r>
      <w:r w:rsidRPr="004C751E">
        <w:rPr>
          <w:rFonts w:eastAsiaTheme="minorHAnsi"/>
          <w:noProof/>
          <w:sz w:val="22"/>
          <w:szCs w:val="22"/>
          <w:lang w:val="en-IE" w:eastAsia="en-US"/>
        </w:rPr>
        <w:t xml:space="preserve">), 21 May 2026, </w:t>
      </w:r>
      <w:hyperlink r:id="rId57" w:history="1">
        <w:r w:rsidRPr="004C751E">
          <w:rPr>
            <w:rFonts w:eastAsiaTheme="minorHAnsi"/>
            <w:noProof/>
            <w:color w:val="0563C1" w:themeColor="hyperlink"/>
            <w:sz w:val="22"/>
            <w:szCs w:val="22"/>
            <w:u w:val="single"/>
            <w:lang w:val="en-IE" w:eastAsia="en-US"/>
          </w:rPr>
          <w:t>https://www.nationaleombudsman.nl/nieuws/nieuwsbericht/2026/ombudsman-proactieve-overheid-nodig-om-vertrouwen-te-herstellen</w:t>
        </w:r>
      </w:hyperlink>
      <w:r w:rsidRPr="004C751E">
        <w:rPr>
          <w:rFonts w:eastAsiaTheme="minorHAnsi"/>
          <w:noProof/>
          <w:sz w:val="22"/>
          <w:szCs w:val="22"/>
          <w:lang w:val="en-IE" w:eastAsia="en-US"/>
        </w:rPr>
        <w:t xml:space="preserve">. </w:t>
      </w:r>
    </w:p>
    <w:p w14:paraId="25F5C15C" w14:textId="77777777" w:rsidR="0079415B" w:rsidRPr="004C751E" w:rsidRDefault="0079415B" w:rsidP="00D76AF1">
      <w:pPr>
        <w:spacing w:after="120"/>
        <w:rPr>
          <w:rFonts w:eastAsiaTheme="minorHAnsi"/>
          <w:noProof/>
          <w:sz w:val="22"/>
          <w:szCs w:val="22"/>
          <w:lang w:val="en-IE" w:eastAsia="en-US"/>
        </w:rPr>
      </w:pPr>
      <w:r w:rsidRPr="004C751E">
        <w:rPr>
          <w:rFonts w:eastAsiaTheme="minorHAnsi"/>
          <w:noProof/>
          <w:sz w:val="22"/>
          <w:szCs w:val="22"/>
          <w:lang w:val="en-IE" w:eastAsia="en-US"/>
        </w:rPr>
        <w:t>National Ombudsman (2026a), Right to demonstrate increasingly under pressure (</w:t>
      </w:r>
      <w:r w:rsidRPr="00903B26">
        <w:rPr>
          <w:rFonts w:eastAsiaTheme="minorHAnsi"/>
          <w:i/>
          <w:iCs/>
          <w:noProof/>
          <w:sz w:val="22"/>
          <w:szCs w:val="22"/>
          <w:lang w:val="en-IE" w:eastAsia="en-US"/>
        </w:rPr>
        <w:t>Demonstratierecht steeds verder onder druk</w:t>
      </w:r>
      <w:r w:rsidRPr="004C751E">
        <w:rPr>
          <w:rFonts w:eastAsiaTheme="minorHAnsi"/>
          <w:noProof/>
          <w:sz w:val="22"/>
          <w:szCs w:val="22"/>
          <w:lang w:val="en-IE" w:eastAsia="en-US"/>
        </w:rPr>
        <w:t xml:space="preserve">), 26 May 2026, </w:t>
      </w:r>
      <w:hyperlink r:id="rId58" w:history="1">
        <w:r w:rsidRPr="004C751E">
          <w:rPr>
            <w:rFonts w:eastAsiaTheme="minorHAnsi"/>
            <w:noProof/>
            <w:color w:val="0563C1" w:themeColor="hyperlink"/>
            <w:sz w:val="22"/>
            <w:szCs w:val="22"/>
            <w:u w:val="single"/>
            <w:lang w:val="en-IE" w:eastAsia="en-US"/>
          </w:rPr>
          <w:t>https://www.nationaleombudsman.nl/nieuws/artikel/2026/demonstratierecht-steeds-verder-onder-druk</w:t>
        </w:r>
      </w:hyperlink>
      <w:r w:rsidRPr="004C751E">
        <w:rPr>
          <w:rFonts w:eastAsiaTheme="minorHAnsi"/>
          <w:noProof/>
          <w:sz w:val="22"/>
          <w:szCs w:val="22"/>
          <w:lang w:val="en-IE" w:eastAsia="en-US"/>
        </w:rPr>
        <w:t xml:space="preserve">. </w:t>
      </w:r>
    </w:p>
    <w:p w14:paraId="074821D8" w14:textId="77777777" w:rsidR="00F55EE9" w:rsidRPr="004C751E" w:rsidRDefault="00F55EE9" w:rsidP="00D76AF1">
      <w:pPr>
        <w:spacing w:after="120"/>
        <w:rPr>
          <w:rFonts w:eastAsia="Calibri"/>
          <w:i/>
          <w:iCs/>
          <w:noProof/>
          <w:sz w:val="22"/>
          <w:szCs w:val="22"/>
          <w:lang w:val="en-IE" w:eastAsia="en-US"/>
        </w:rPr>
      </w:pPr>
      <w:r w:rsidRPr="004C751E">
        <w:rPr>
          <w:rFonts w:eastAsia="Calibri"/>
          <w:noProof/>
          <w:sz w:val="22"/>
          <w:szCs w:val="22"/>
          <w:lang w:val="en-IE" w:eastAsia="en-US"/>
        </w:rPr>
        <w:t xml:space="preserve">Netherlands Bar Association (2026), </w:t>
      </w:r>
      <w:r w:rsidRPr="004C751E">
        <w:rPr>
          <w:rFonts w:eastAsia="Calibri"/>
          <w:i/>
          <w:iCs/>
          <w:noProof/>
          <w:sz w:val="22"/>
          <w:szCs w:val="22"/>
          <w:lang w:val="en-IE" w:eastAsia="en-US"/>
        </w:rPr>
        <w:t>additional written input from the Netherlands Bar Association for the 2026 Rule of Law Report.</w:t>
      </w:r>
    </w:p>
    <w:p w14:paraId="6007AA9B" w14:textId="77777777" w:rsidR="0079415B" w:rsidRPr="004C751E" w:rsidRDefault="0079415B" w:rsidP="00D76AF1">
      <w:pPr>
        <w:spacing w:after="120"/>
        <w:rPr>
          <w:rFonts w:eastAsiaTheme="minorHAnsi"/>
          <w:noProof/>
          <w:sz w:val="22"/>
          <w:szCs w:val="22"/>
          <w:lang w:val="en-IE" w:eastAsia="en-US"/>
        </w:rPr>
      </w:pPr>
      <w:r w:rsidRPr="004C751E">
        <w:rPr>
          <w:rFonts w:eastAsiaTheme="minorHAnsi"/>
          <w:noProof/>
          <w:sz w:val="22"/>
          <w:szCs w:val="22"/>
          <w:lang w:val="en-IE" w:eastAsia="en-US"/>
        </w:rPr>
        <w:t>Netherlands Bar Association (2025), Rule of law assessment of election programmes 2025 (</w:t>
      </w:r>
      <w:r w:rsidRPr="00903B26">
        <w:rPr>
          <w:rFonts w:eastAsiaTheme="minorHAnsi"/>
          <w:i/>
          <w:iCs/>
          <w:noProof/>
          <w:sz w:val="22"/>
          <w:szCs w:val="22"/>
          <w:lang w:val="en-IE" w:eastAsia="en-US"/>
        </w:rPr>
        <w:t>Rechtsstatelijke toets verkiezingsprogramma’s</w:t>
      </w:r>
      <w:r w:rsidRPr="004C751E">
        <w:rPr>
          <w:rFonts w:eastAsiaTheme="minorHAnsi"/>
          <w:i/>
          <w:iCs/>
          <w:noProof/>
          <w:sz w:val="22"/>
          <w:szCs w:val="22"/>
          <w:lang w:val="en-IE" w:eastAsia="en-US"/>
        </w:rPr>
        <w:t xml:space="preserve"> 2025</w:t>
      </w:r>
      <w:r w:rsidRPr="004C751E">
        <w:rPr>
          <w:rFonts w:eastAsiaTheme="minorHAnsi"/>
          <w:noProof/>
          <w:sz w:val="22"/>
          <w:szCs w:val="22"/>
          <w:lang w:val="en-IE" w:eastAsia="en-US"/>
        </w:rPr>
        <w:t xml:space="preserve">), </w:t>
      </w:r>
      <w:hyperlink r:id="rId59" w:history="1">
        <w:r w:rsidRPr="004C751E">
          <w:rPr>
            <w:rFonts w:eastAsiaTheme="minorHAnsi"/>
            <w:noProof/>
            <w:color w:val="0563C1" w:themeColor="hyperlink"/>
            <w:sz w:val="22"/>
            <w:szCs w:val="22"/>
            <w:u w:val="single"/>
            <w:lang w:val="en-IE" w:eastAsia="en-US"/>
          </w:rPr>
          <w:t>https://www.advocatenorde.nl/voor-advocaten/de-rol-van-de-advocatuur-de-rechtsstaat</w:t>
        </w:r>
      </w:hyperlink>
      <w:r w:rsidRPr="004C751E">
        <w:rPr>
          <w:rFonts w:eastAsiaTheme="minorHAnsi"/>
          <w:noProof/>
          <w:sz w:val="22"/>
          <w:szCs w:val="22"/>
          <w:lang w:val="en-IE" w:eastAsia="en-US"/>
        </w:rPr>
        <w:t xml:space="preserve">. </w:t>
      </w:r>
    </w:p>
    <w:p w14:paraId="1A624FE3" w14:textId="77777777" w:rsidR="00F55EE9" w:rsidRPr="004C751E" w:rsidRDefault="00F55EE9" w:rsidP="00D76AF1">
      <w:pPr>
        <w:spacing w:after="120"/>
        <w:rPr>
          <w:rFonts w:eastAsia="Calibri"/>
          <w:noProof/>
          <w:sz w:val="22"/>
          <w:szCs w:val="22"/>
          <w:lang w:val="en-IE" w:eastAsia="en-US"/>
        </w:rPr>
      </w:pPr>
      <w:r w:rsidRPr="004C751E">
        <w:rPr>
          <w:rFonts w:eastAsia="Calibri"/>
          <w:noProof/>
          <w:sz w:val="22"/>
          <w:szCs w:val="22"/>
          <w:lang w:val="en-IE" w:eastAsia="en-US"/>
        </w:rPr>
        <w:t xml:space="preserve">Netherlands Government (2026), </w:t>
      </w:r>
      <w:r w:rsidRPr="004C751E">
        <w:rPr>
          <w:rFonts w:eastAsia="Calibri"/>
          <w:i/>
          <w:iCs/>
          <w:noProof/>
          <w:sz w:val="22"/>
          <w:szCs w:val="22"/>
          <w:lang w:val="en-IE" w:eastAsia="en-US"/>
        </w:rPr>
        <w:t>Input from the Netherlands for the 2026 Rule of Law Report.</w:t>
      </w:r>
      <w:r w:rsidRPr="004C751E">
        <w:rPr>
          <w:rFonts w:eastAsia="Calibri"/>
          <w:noProof/>
          <w:sz w:val="22"/>
          <w:szCs w:val="22"/>
          <w:lang w:val="en-IE" w:eastAsia="en-US"/>
        </w:rPr>
        <w:t xml:space="preserve"> </w:t>
      </w:r>
    </w:p>
    <w:p w14:paraId="074CB0E1" w14:textId="48B0E809" w:rsidR="00F55EE9" w:rsidRPr="004C751E" w:rsidRDefault="00F55EE9" w:rsidP="00D76AF1">
      <w:pPr>
        <w:spacing w:after="120"/>
        <w:rPr>
          <w:rFonts w:eastAsia="Calibri"/>
          <w:noProof/>
          <w:sz w:val="22"/>
          <w:szCs w:val="22"/>
          <w:lang w:val="en-IE" w:eastAsia="en-US"/>
        </w:rPr>
      </w:pPr>
      <w:r w:rsidRPr="004C751E">
        <w:rPr>
          <w:rFonts w:eastAsia="Calibri"/>
          <w:noProof/>
          <w:sz w:val="22"/>
          <w:szCs w:val="22"/>
          <w:lang w:val="en-IE" w:eastAsia="en-US"/>
        </w:rPr>
        <w:t xml:space="preserve">Netherlands Government (2026), </w:t>
      </w:r>
      <w:r w:rsidRPr="004C751E">
        <w:rPr>
          <w:rFonts w:eastAsia="Calibri"/>
          <w:i/>
          <w:iCs/>
          <w:noProof/>
          <w:sz w:val="22"/>
          <w:szCs w:val="22"/>
          <w:lang w:val="en-IE" w:eastAsia="en-US"/>
        </w:rPr>
        <w:t xml:space="preserve">Additional written input from the Netherlands for the 2026 Rule of Law Report </w:t>
      </w:r>
      <w:r w:rsidRPr="004C751E">
        <w:rPr>
          <w:rFonts w:eastAsia="Calibri"/>
          <w:noProof/>
          <w:sz w:val="22"/>
          <w:szCs w:val="22"/>
          <w:lang w:val="en-IE" w:eastAsia="en-US"/>
        </w:rPr>
        <w:t>(received on 18, 19 March, 26 March and 2 June).</w:t>
      </w:r>
    </w:p>
    <w:p w14:paraId="6F1813FA" w14:textId="65DECC6C" w:rsidR="00F55EE9" w:rsidRPr="004C751E" w:rsidRDefault="00F55EE9" w:rsidP="00D76AF1">
      <w:pPr>
        <w:spacing w:after="120"/>
        <w:rPr>
          <w:rFonts w:eastAsiaTheme="minorHAnsi"/>
          <w:noProof/>
          <w:sz w:val="22"/>
          <w:szCs w:val="22"/>
          <w:lang w:val="en-IE" w:eastAsia="en-US"/>
        </w:rPr>
      </w:pPr>
      <w:r w:rsidRPr="004C751E">
        <w:rPr>
          <w:rFonts w:eastAsiaTheme="minorHAnsi"/>
          <w:noProof/>
          <w:sz w:val="22"/>
          <w:szCs w:val="22"/>
          <w:lang w:val="en-IE" w:eastAsia="en-US"/>
        </w:rPr>
        <w:t>Netherlands Government (2026a), Letter to parliament on the implementation of the Mutluer motion for criminal cases (</w:t>
      </w:r>
      <w:r w:rsidRPr="00903B26">
        <w:rPr>
          <w:rFonts w:eastAsiaTheme="minorHAnsi"/>
          <w:i/>
          <w:iCs/>
          <w:noProof/>
          <w:sz w:val="22"/>
          <w:szCs w:val="22"/>
          <w:lang w:val="en-IE" w:eastAsia="en-US"/>
        </w:rPr>
        <w:t>Kamerbrief over uitvoering motie Mutluer strafrechtzaken</w:t>
      </w:r>
      <w:r w:rsidRPr="004C751E">
        <w:rPr>
          <w:rFonts w:eastAsiaTheme="minorHAnsi"/>
          <w:noProof/>
          <w:sz w:val="22"/>
          <w:szCs w:val="22"/>
          <w:lang w:val="en-IE" w:eastAsia="en-US"/>
        </w:rPr>
        <w:t xml:space="preserve">), 12 January 2026, 6944114, available at: </w:t>
      </w:r>
      <w:hyperlink r:id="rId60" w:history="1">
        <w:r w:rsidRPr="004C751E">
          <w:rPr>
            <w:rFonts w:eastAsiaTheme="minorHAnsi"/>
            <w:noProof/>
            <w:color w:val="0563C1" w:themeColor="hyperlink"/>
            <w:sz w:val="22"/>
            <w:szCs w:val="22"/>
            <w:u w:val="single"/>
            <w:lang w:val="en-IE" w:eastAsia="en-US"/>
          </w:rPr>
          <w:t>https://www.rijksoverheid.nl/documenten/kamerstukken/2026/01/12/tk-reactie-op-de-motie-mutluer-c-s</w:t>
        </w:r>
      </w:hyperlink>
      <w:r w:rsidRPr="004C751E">
        <w:rPr>
          <w:rFonts w:eastAsiaTheme="minorHAnsi"/>
          <w:noProof/>
          <w:sz w:val="22"/>
          <w:szCs w:val="22"/>
          <w:lang w:val="en-IE" w:eastAsia="en-US"/>
        </w:rPr>
        <w:t xml:space="preserve">. </w:t>
      </w:r>
    </w:p>
    <w:p w14:paraId="269ACA50" w14:textId="4ACB6EB6" w:rsidR="0079415B" w:rsidRPr="004C751E" w:rsidRDefault="0079415B" w:rsidP="00D76AF1">
      <w:pPr>
        <w:spacing w:after="120"/>
        <w:rPr>
          <w:rFonts w:eastAsia="Calibri"/>
          <w:i/>
          <w:iCs/>
          <w:noProof/>
          <w:sz w:val="22"/>
          <w:szCs w:val="22"/>
          <w:lang w:val="en-IE" w:eastAsia="en-US"/>
        </w:rPr>
      </w:pPr>
      <w:r w:rsidRPr="004C751E">
        <w:rPr>
          <w:rFonts w:eastAsia="Calibri"/>
          <w:noProof/>
          <w:sz w:val="22"/>
          <w:szCs w:val="22"/>
          <w:lang w:val="en-IE" w:eastAsia="en-US"/>
        </w:rPr>
        <w:t xml:space="preserve">Netherlands Government (2025), </w:t>
      </w:r>
      <w:r w:rsidRPr="004C751E">
        <w:rPr>
          <w:rFonts w:eastAsia="Calibri"/>
          <w:noProof/>
          <w:sz w:val="22"/>
          <w:szCs w:val="22"/>
          <w:lang w:eastAsia="en-US"/>
        </w:rPr>
        <w:t>Letter to Parliament with government assessment of the European Commission's 2025 rule of law report (</w:t>
      </w:r>
      <w:r w:rsidRPr="00903B26">
        <w:rPr>
          <w:rFonts w:eastAsia="Calibri"/>
          <w:i/>
          <w:iCs/>
          <w:noProof/>
          <w:sz w:val="22"/>
          <w:szCs w:val="22"/>
          <w:lang w:val="en-IE" w:eastAsia="en-US"/>
        </w:rPr>
        <w:t>Kamerbrief met kabinetsappreciatie op rechtsstaatrapport 2025 Europese Commissie</w:t>
      </w:r>
      <w:r w:rsidRPr="004C751E">
        <w:rPr>
          <w:rFonts w:eastAsia="Calibri"/>
          <w:noProof/>
          <w:sz w:val="22"/>
          <w:szCs w:val="22"/>
          <w:lang w:val="en-IE" w:eastAsia="en-US"/>
        </w:rPr>
        <w:t xml:space="preserve">), 29 August 2025, </w:t>
      </w:r>
      <w:hyperlink r:id="rId61" w:history="1">
        <w:r w:rsidRPr="004C751E">
          <w:rPr>
            <w:rStyle w:val="Hyperlink"/>
            <w:rFonts w:eastAsia="Calibri"/>
            <w:noProof/>
            <w:sz w:val="22"/>
            <w:szCs w:val="22"/>
            <w:lang w:val="en-IE" w:eastAsia="en-US"/>
          </w:rPr>
          <w:t>https://www.rijksoverheid.nl/documenten/2025/08/29/kamerbrief-inzake-kabinetsappreciatie-commissie-rechtsstaatrapport-2025</w:t>
        </w:r>
      </w:hyperlink>
      <w:r w:rsidRPr="004C751E">
        <w:rPr>
          <w:rFonts w:eastAsia="Calibri"/>
          <w:i/>
          <w:iCs/>
          <w:noProof/>
          <w:sz w:val="22"/>
          <w:szCs w:val="22"/>
          <w:lang w:val="en-IE" w:eastAsia="en-US"/>
        </w:rPr>
        <w:t>.</w:t>
      </w:r>
    </w:p>
    <w:p w14:paraId="1B5018C3" w14:textId="77777777" w:rsidR="0079415B" w:rsidRPr="004C751E" w:rsidRDefault="0079415B" w:rsidP="00D76AF1">
      <w:pPr>
        <w:spacing w:after="120"/>
        <w:rPr>
          <w:rFonts w:eastAsiaTheme="minorHAnsi"/>
          <w:noProof/>
          <w:sz w:val="22"/>
          <w:szCs w:val="22"/>
          <w:lang w:val="en-IE" w:eastAsia="en-US"/>
        </w:rPr>
      </w:pPr>
      <w:r w:rsidRPr="004C751E">
        <w:rPr>
          <w:rFonts w:eastAsiaTheme="minorHAnsi"/>
          <w:noProof/>
          <w:sz w:val="22"/>
          <w:szCs w:val="22"/>
          <w:lang w:val="en-IE" w:eastAsia="en-US"/>
        </w:rPr>
        <w:t xml:space="preserve">Netherlands Government (2025a), Letter to the House of Representatives on the assessment of candidate ministers and state secretaries, 26 September 2025, </w:t>
      </w:r>
      <w:hyperlink r:id="rId62" w:history="1">
        <w:r w:rsidRPr="004C751E">
          <w:rPr>
            <w:rStyle w:val="Hyperlink"/>
            <w:rFonts w:eastAsiaTheme="minorHAnsi"/>
            <w:noProof/>
            <w:sz w:val="22"/>
            <w:szCs w:val="22"/>
            <w:lang w:val="en-IE" w:eastAsia="en-US"/>
          </w:rPr>
          <w:t>https://open.overheid.nl/documenten/1c7f0d59-dbab-485e-acba-7aac33db6277/file</w:t>
        </w:r>
      </w:hyperlink>
      <w:r w:rsidRPr="004C751E">
        <w:rPr>
          <w:rFonts w:eastAsiaTheme="minorHAnsi"/>
          <w:noProof/>
          <w:sz w:val="22"/>
          <w:szCs w:val="22"/>
          <w:lang w:val="en-IE" w:eastAsia="en-US"/>
        </w:rPr>
        <w:t xml:space="preserve">. </w:t>
      </w:r>
    </w:p>
    <w:p w14:paraId="4D619F13" w14:textId="77777777" w:rsidR="00F55EE9" w:rsidRPr="004C751E" w:rsidRDefault="00F55EE9" w:rsidP="00D76AF1">
      <w:pPr>
        <w:spacing w:after="120"/>
        <w:rPr>
          <w:rFonts w:eastAsia="Calibri"/>
          <w:noProof/>
          <w:sz w:val="22"/>
          <w:szCs w:val="22"/>
          <w:lang w:val="en-IE" w:eastAsia="en-US"/>
        </w:rPr>
      </w:pPr>
      <w:r w:rsidRPr="004C751E">
        <w:rPr>
          <w:rFonts w:eastAsia="Calibri"/>
          <w:noProof/>
          <w:sz w:val="22"/>
          <w:szCs w:val="22"/>
          <w:lang w:val="en-IE" w:eastAsia="en-US"/>
        </w:rPr>
        <w:t>NIHR (2026), Annual report 2025</w:t>
      </w:r>
      <w:r w:rsidRPr="004C751E">
        <w:rPr>
          <w:rFonts w:eastAsia="Calibri"/>
          <w:i/>
          <w:noProof/>
          <w:sz w:val="22"/>
          <w:szCs w:val="22"/>
          <w:lang w:val="en-IE" w:eastAsia="en-US"/>
        </w:rPr>
        <w:t xml:space="preserve"> (</w:t>
      </w:r>
      <w:r w:rsidRPr="00903B26">
        <w:rPr>
          <w:rFonts w:eastAsia="Calibri"/>
          <w:i/>
          <w:noProof/>
          <w:sz w:val="22"/>
          <w:szCs w:val="22"/>
          <w:lang w:val="en-IE" w:eastAsia="en-US"/>
        </w:rPr>
        <w:t>Jaarverslag 2025</w:t>
      </w:r>
      <w:r w:rsidRPr="004C751E">
        <w:rPr>
          <w:rFonts w:eastAsia="Calibri"/>
          <w:i/>
          <w:noProof/>
          <w:sz w:val="22"/>
          <w:szCs w:val="22"/>
          <w:lang w:val="en-IE" w:eastAsia="en-US"/>
        </w:rPr>
        <w:t>)</w:t>
      </w:r>
      <w:r w:rsidRPr="004C751E">
        <w:rPr>
          <w:rFonts w:eastAsia="Calibri"/>
          <w:noProof/>
          <w:sz w:val="22"/>
          <w:szCs w:val="22"/>
          <w:lang w:val="en-IE" w:eastAsia="en-US"/>
        </w:rPr>
        <w:t xml:space="preserve">, 16 April 2026, </w:t>
      </w:r>
      <w:hyperlink r:id="rId63" w:history="1">
        <w:r w:rsidRPr="004C751E">
          <w:rPr>
            <w:rStyle w:val="Hyperlink"/>
            <w:rFonts w:eastAsia="Calibri"/>
            <w:noProof/>
            <w:sz w:val="22"/>
            <w:szCs w:val="22"/>
            <w:lang w:val="en-IE" w:eastAsia="en-US"/>
          </w:rPr>
          <w:t>https://publicaties.mensenrechten.nl/publicatie/53cefe0d-475b-4ab6-9154-41a081472f9a</w:t>
        </w:r>
      </w:hyperlink>
      <w:r w:rsidRPr="004C751E">
        <w:rPr>
          <w:rFonts w:eastAsia="Calibri"/>
          <w:noProof/>
          <w:sz w:val="22"/>
          <w:szCs w:val="22"/>
          <w:lang w:val="en-IE" w:eastAsia="en-US"/>
        </w:rPr>
        <w:t xml:space="preserve">. </w:t>
      </w:r>
    </w:p>
    <w:p w14:paraId="110E2800" w14:textId="77777777" w:rsidR="0079415B" w:rsidRPr="00B94404" w:rsidRDefault="0079415B" w:rsidP="00D76AF1">
      <w:pPr>
        <w:spacing w:after="120"/>
        <w:rPr>
          <w:rFonts w:eastAsiaTheme="minorHAnsi"/>
          <w:noProof/>
          <w:sz w:val="22"/>
          <w:szCs w:val="22"/>
          <w:lang w:val="en-IE" w:eastAsia="en-US"/>
        </w:rPr>
      </w:pPr>
      <w:r w:rsidRPr="00B94404">
        <w:rPr>
          <w:rFonts w:eastAsiaTheme="minorHAnsi"/>
          <w:noProof/>
          <w:sz w:val="22"/>
          <w:szCs w:val="22"/>
          <w:lang w:val="en-IE" w:eastAsia="en-US"/>
        </w:rPr>
        <w:t>NIHR (2025), Civil society in the Netherlands is under pressure (</w:t>
      </w:r>
      <w:r w:rsidRPr="00903B26">
        <w:rPr>
          <w:rFonts w:eastAsiaTheme="minorHAnsi"/>
          <w:i/>
          <w:noProof/>
          <w:sz w:val="22"/>
          <w:szCs w:val="22"/>
          <w:lang w:val="en-IE" w:eastAsia="en-US"/>
        </w:rPr>
        <w:t>Maatschappelijk middenveld in Nederland staat onder druk</w:t>
      </w:r>
      <w:r w:rsidRPr="00B94404">
        <w:rPr>
          <w:rFonts w:eastAsiaTheme="minorHAnsi"/>
          <w:noProof/>
          <w:sz w:val="22"/>
          <w:szCs w:val="22"/>
          <w:lang w:val="en-IE" w:eastAsia="en-US"/>
        </w:rPr>
        <w:t xml:space="preserve">), 8 September 2025, </w:t>
      </w:r>
      <w:hyperlink r:id="rId64" w:history="1">
        <w:r w:rsidRPr="00B94404">
          <w:rPr>
            <w:rFonts w:eastAsiaTheme="minorHAnsi"/>
            <w:noProof/>
            <w:color w:val="0563C1" w:themeColor="hyperlink"/>
            <w:sz w:val="22"/>
            <w:szCs w:val="22"/>
            <w:u w:val="single"/>
            <w:lang w:val="en-IE" w:eastAsia="en-US"/>
          </w:rPr>
          <w:t>https://www.mensenrechten.nl/actueel/nieuws/2025/09/08/maatschappelijk-middenveld-in-nederland-staat-onder-druk</w:t>
        </w:r>
      </w:hyperlink>
      <w:r w:rsidRPr="00B94404">
        <w:rPr>
          <w:rFonts w:eastAsiaTheme="minorHAnsi"/>
          <w:noProof/>
          <w:sz w:val="22"/>
          <w:szCs w:val="22"/>
          <w:lang w:val="en-IE" w:eastAsia="en-US"/>
        </w:rPr>
        <w:t xml:space="preserve">. </w:t>
      </w:r>
    </w:p>
    <w:p w14:paraId="6721448A" w14:textId="7F29264E" w:rsidR="0079415B" w:rsidRPr="00B94404" w:rsidRDefault="0079415B" w:rsidP="00D76AF1">
      <w:pPr>
        <w:spacing w:after="120"/>
        <w:rPr>
          <w:rFonts w:eastAsiaTheme="minorHAnsi"/>
          <w:noProof/>
          <w:sz w:val="22"/>
          <w:szCs w:val="22"/>
          <w:lang w:val="en-IE" w:eastAsia="en-US"/>
        </w:rPr>
      </w:pPr>
      <w:r w:rsidRPr="00B94404">
        <w:rPr>
          <w:rFonts w:eastAsiaTheme="minorHAnsi"/>
          <w:noProof/>
          <w:sz w:val="22"/>
          <w:szCs w:val="22"/>
          <w:lang w:val="en-IE" w:eastAsia="en-US"/>
        </w:rPr>
        <w:t>NIHR (2025a), Position paper: Input for the expert meeting of the Transparency and Countering Undermining by Civil Society Organisations Act (</w:t>
      </w:r>
      <w:r w:rsidRPr="00903B26">
        <w:rPr>
          <w:rFonts w:eastAsiaTheme="minorHAnsi"/>
          <w:i/>
          <w:noProof/>
          <w:sz w:val="22"/>
          <w:szCs w:val="22"/>
          <w:lang w:val="en-IE" w:eastAsia="en-US"/>
        </w:rPr>
        <w:t>Position paper: Inbreng voor de deskundigenbijeenkomst Wet transparantie en tegengaan ondermijning door maatschappelijke organisaties</w:t>
      </w:r>
      <w:r w:rsidRPr="00B94404">
        <w:rPr>
          <w:rFonts w:eastAsiaTheme="minorHAnsi"/>
          <w:noProof/>
          <w:sz w:val="22"/>
          <w:szCs w:val="22"/>
          <w:lang w:val="en-IE" w:eastAsia="en-US"/>
        </w:rPr>
        <w:t xml:space="preserve">), 24 November 2025, available at: </w:t>
      </w:r>
      <w:hyperlink r:id="rId65" w:history="1">
        <w:r w:rsidRPr="00B94404">
          <w:rPr>
            <w:rFonts w:eastAsiaTheme="minorHAnsi"/>
            <w:noProof/>
            <w:color w:val="0563C1" w:themeColor="hyperlink"/>
            <w:sz w:val="22"/>
            <w:szCs w:val="22"/>
            <w:u w:val="single"/>
            <w:lang w:val="en-IE" w:eastAsia="en-US"/>
          </w:rPr>
          <w:t>https://publicaties.mensenrechten.nl/publicatie/8430ccdb-3e60-4786-8b01-0befb6f2e665</w:t>
        </w:r>
      </w:hyperlink>
      <w:r w:rsidRPr="00B94404">
        <w:rPr>
          <w:rFonts w:eastAsiaTheme="minorHAnsi"/>
          <w:noProof/>
          <w:sz w:val="22"/>
          <w:szCs w:val="22"/>
          <w:lang w:val="en-IE" w:eastAsia="en-US"/>
        </w:rPr>
        <w:t xml:space="preserve">. </w:t>
      </w:r>
    </w:p>
    <w:p w14:paraId="024F5959" w14:textId="77777777" w:rsidR="0079415B" w:rsidRPr="00E411D7" w:rsidRDefault="0079415B" w:rsidP="00D76AF1">
      <w:pPr>
        <w:spacing w:after="120"/>
        <w:rPr>
          <w:rFonts w:eastAsia="Calibri"/>
          <w:i/>
          <w:noProof/>
          <w:sz w:val="22"/>
          <w:szCs w:val="22"/>
          <w:lang w:val="en-IE" w:eastAsia="en-US"/>
        </w:rPr>
      </w:pPr>
      <w:r w:rsidRPr="00E411D7">
        <w:rPr>
          <w:rFonts w:eastAsia="Calibri"/>
          <w:noProof/>
          <w:sz w:val="22"/>
          <w:szCs w:val="22"/>
          <w:lang w:val="en-IE" w:eastAsia="en-US"/>
        </w:rPr>
        <w:t>NIHR (2025b), Annual plan 2026 (</w:t>
      </w:r>
      <w:r w:rsidRPr="00903B26">
        <w:rPr>
          <w:rFonts w:eastAsia="Calibri"/>
          <w:i/>
          <w:noProof/>
          <w:sz w:val="22"/>
          <w:szCs w:val="22"/>
          <w:lang w:val="en-IE" w:eastAsia="en-US"/>
        </w:rPr>
        <w:t>Jaarplan</w:t>
      </w:r>
      <w:r w:rsidRPr="00E411D7">
        <w:rPr>
          <w:rFonts w:eastAsia="Calibri"/>
          <w:i/>
          <w:noProof/>
          <w:sz w:val="22"/>
          <w:szCs w:val="22"/>
          <w:lang w:val="en-IE" w:eastAsia="en-US"/>
        </w:rPr>
        <w:t xml:space="preserve"> 2026</w:t>
      </w:r>
      <w:r w:rsidRPr="00E411D7">
        <w:rPr>
          <w:rFonts w:eastAsia="Calibri"/>
          <w:noProof/>
          <w:sz w:val="22"/>
          <w:szCs w:val="22"/>
          <w:lang w:val="en-IE" w:eastAsia="en-US"/>
        </w:rPr>
        <w:t xml:space="preserve">), 18 December 2025, </w:t>
      </w:r>
      <w:hyperlink r:id="rId66" w:history="1">
        <w:r w:rsidRPr="00E411D7">
          <w:rPr>
            <w:rStyle w:val="Hyperlink"/>
            <w:rFonts w:eastAsia="Calibri"/>
            <w:noProof/>
            <w:sz w:val="22"/>
            <w:szCs w:val="22"/>
            <w:lang w:val="en-IE" w:eastAsia="en-US"/>
          </w:rPr>
          <w:t>https://publicaties.mensenrechten.nl/publicatie/e5a0bc5d-31a6-4e7f-a14e-12576a8f1fcc</w:t>
        </w:r>
      </w:hyperlink>
      <w:r w:rsidRPr="00E411D7">
        <w:rPr>
          <w:rFonts w:eastAsia="Calibri"/>
          <w:noProof/>
          <w:sz w:val="22"/>
          <w:szCs w:val="22"/>
          <w:lang w:val="en-IE" w:eastAsia="en-US"/>
        </w:rPr>
        <w:t xml:space="preserve">. </w:t>
      </w:r>
    </w:p>
    <w:p w14:paraId="1CEA9D86" w14:textId="40ADC0F1" w:rsidR="0079415B" w:rsidRPr="00E411D7" w:rsidRDefault="0079415B" w:rsidP="00D76AF1">
      <w:pPr>
        <w:spacing w:after="120"/>
        <w:rPr>
          <w:rFonts w:eastAsiaTheme="minorHAnsi"/>
          <w:noProof/>
          <w:sz w:val="22"/>
          <w:szCs w:val="22"/>
          <w:lang w:val="en-IE" w:eastAsia="en-US"/>
        </w:rPr>
      </w:pPr>
      <w:r w:rsidRPr="00E411D7">
        <w:rPr>
          <w:rFonts w:eastAsiaTheme="minorHAnsi"/>
          <w:noProof/>
          <w:sz w:val="22"/>
          <w:szCs w:val="22"/>
          <w:lang w:val="en-IE" w:eastAsia="en-US"/>
        </w:rPr>
        <w:t xml:space="preserve">NJCM, NHC, TI-NL, FPU, RNW (2026), , </w:t>
      </w:r>
      <w:r w:rsidRPr="00E411D7">
        <w:rPr>
          <w:rFonts w:eastAsia="Calibri"/>
          <w:i/>
          <w:noProof/>
          <w:sz w:val="22"/>
          <w:szCs w:val="22"/>
          <w:lang w:val="en-IE" w:eastAsia="en-US"/>
        </w:rPr>
        <w:t xml:space="preserve">Input from </w:t>
      </w:r>
      <w:r w:rsidRPr="00E411D7">
        <w:rPr>
          <w:rFonts w:eastAsiaTheme="minorHAnsi"/>
          <w:i/>
          <w:noProof/>
          <w:sz w:val="22"/>
          <w:szCs w:val="22"/>
          <w:lang w:val="en-IE" w:eastAsia="en-US"/>
        </w:rPr>
        <w:t xml:space="preserve">Netherlands </w:t>
      </w:r>
      <w:r w:rsidRPr="00903B26">
        <w:rPr>
          <w:rFonts w:eastAsiaTheme="minorHAnsi"/>
          <w:i/>
          <w:noProof/>
          <w:sz w:val="22"/>
          <w:szCs w:val="22"/>
          <w:lang w:val="en-IE" w:eastAsia="en-US"/>
        </w:rPr>
        <w:t>Juristen Comité voor de Mensenrechten (NJCM</w:t>
      </w:r>
      <w:r w:rsidRPr="00E411D7">
        <w:rPr>
          <w:rFonts w:eastAsiaTheme="minorHAnsi"/>
          <w:i/>
          <w:noProof/>
          <w:sz w:val="22"/>
          <w:szCs w:val="22"/>
          <w:lang w:val="en-IE" w:eastAsia="en-US"/>
        </w:rPr>
        <w:t xml:space="preserve">), Netherlands Helsinki Comité (NHC), Transparency International Nederland (TI-NL), Free Press Unlimited (FPU); RNW Media </w:t>
      </w:r>
      <w:r w:rsidRPr="00E411D7">
        <w:rPr>
          <w:rFonts w:eastAsia="Calibri"/>
          <w:i/>
          <w:noProof/>
          <w:sz w:val="22"/>
          <w:szCs w:val="22"/>
          <w:lang w:val="en-IE" w:eastAsia="en-US"/>
        </w:rPr>
        <w:t>for the 2026 Rule of Law Report</w:t>
      </w:r>
      <w:r w:rsidRPr="00E411D7">
        <w:rPr>
          <w:rFonts w:eastAsiaTheme="minorHAnsi"/>
          <w:noProof/>
          <w:sz w:val="22"/>
          <w:szCs w:val="22"/>
          <w:lang w:val="en-IE" w:eastAsia="en-US"/>
        </w:rPr>
        <w:t xml:space="preserve">. </w:t>
      </w:r>
    </w:p>
    <w:p w14:paraId="6FA9D5F3" w14:textId="77777777" w:rsidR="0079415B" w:rsidRPr="004C751E" w:rsidRDefault="0079415B" w:rsidP="00D76AF1">
      <w:pPr>
        <w:spacing w:after="120"/>
        <w:rPr>
          <w:rFonts w:eastAsiaTheme="minorHAnsi"/>
          <w:noProof/>
          <w:sz w:val="22"/>
          <w:szCs w:val="22"/>
          <w:lang w:val="en-IE" w:eastAsia="en-US"/>
        </w:rPr>
      </w:pPr>
      <w:r w:rsidRPr="004C751E">
        <w:rPr>
          <w:rFonts w:eastAsiaTheme="minorHAnsi"/>
          <w:noProof/>
          <w:sz w:val="22"/>
          <w:szCs w:val="22"/>
          <w:lang w:val="en-IE" w:eastAsia="en-US"/>
        </w:rPr>
        <w:t>NOS (2025), Citizens' rights more often curtailed with emergency measures, sometimes for a long time (</w:t>
      </w:r>
      <w:r w:rsidRPr="00903B26">
        <w:rPr>
          <w:rFonts w:eastAsiaTheme="minorHAnsi"/>
          <w:i/>
          <w:iCs/>
          <w:noProof/>
          <w:sz w:val="22"/>
          <w:szCs w:val="22"/>
          <w:lang w:val="en-IE" w:eastAsia="en-US"/>
        </w:rPr>
        <w:t>Rechten burgers vaker ingeperkt met noodmaatregelen, soms langdurig</w:t>
      </w:r>
      <w:r w:rsidRPr="004C751E">
        <w:rPr>
          <w:rFonts w:eastAsiaTheme="minorHAnsi"/>
          <w:noProof/>
          <w:sz w:val="22"/>
          <w:szCs w:val="22"/>
          <w:lang w:val="en-IE" w:eastAsia="en-US"/>
        </w:rPr>
        <w:t xml:space="preserve">), 23 November 2025, </w:t>
      </w:r>
      <w:hyperlink r:id="rId67" w:history="1">
        <w:r w:rsidRPr="004C751E">
          <w:rPr>
            <w:rFonts w:eastAsiaTheme="minorHAnsi"/>
            <w:noProof/>
            <w:color w:val="0563C1" w:themeColor="hyperlink"/>
            <w:sz w:val="22"/>
            <w:szCs w:val="22"/>
            <w:u w:val="single"/>
            <w:lang w:val="en-IE" w:eastAsia="en-US"/>
          </w:rPr>
          <w:t>https://nos.nl/artikel/2591625-rechten-burgers-vaker-ingeperkt-met-noodmaatregelen-soms-langdurig</w:t>
        </w:r>
      </w:hyperlink>
      <w:r w:rsidRPr="004C751E">
        <w:rPr>
          <w:rFonts w:eastAsiaTheme="minorHAnsi"/>
          <w:noProof/>
          <w:sz w:val="22"/>
          <w:szCs w:val="22"/>
          <w:lang w:val="en-IE" w:eastAsia="en-US"/>
        </w:rPr>
        <w:t xml:space="preserve">. </w:t>
      </w:r>
    </w:p>
    <w:p w14:paraId="64816C41" w14:textId="6DAAFB8A" w:rsidR="00F55EE9" w:rsidRPr="004C751E" w:rsidRDefault="00F55EE9" w:rsidP="00D76AF1">
      <w:pPr>
        <w:spacing w:after="120"/>
        <w:rPr>
          <w:rFonts w:eastAsiaTheme="minorHAnsi"/>
          <w:noProof/>
          <w:sz w:val="22"/>
          <w:szCs w:val="22"/>
          <w:lang w:val="en-IE" w:eastAsia="en-US"/>
        </w:rPr>
      </w:pPr>
      <w:r w:rsidRPr="004C751E">
        <w:rPr>
          <w:rFonts w:eastAsiaTheme="minorHAnsi"/>
          <w:noProof/>
          <w:sz w:val="22"/>
          <w:szCs w:val="22"/>
          <w:lang w:val="en-IE" w:eastAsia="en-US"/>
        </w:rPr>
        <w:t>Press Council (2026)</w:t>
      </w:r>
      <w:r w:rsidR="007C3368" w:rsidRPr="004C751E">
        <w:rPr>
          <w:rFonts w:eastAsiaTheme="minorHAnsi"/>
          <w:noProof/>
          <w:sz w:val="22"/>
          <w:szCs w:val="22"/>
          <w:lang w:val="en-IE" w:eastAsia="en-US"/>
        </w:rPr>
        <w:t>, written input from the Press Council for the 2026 Rule of Law Report.</w:t>
      </w:r>
    </w:p>
    <w:p w14:paraId="6181B4ED" w14:textId="77777777" w:rsidR="0079415B" w:rsidRPr="004C751E" w:rsidRDefault="0079415B" w:rsidP="00D76AF1">
      <w:pPr>
        <w:spacing w:after="120"/>
        <w:rPr>
          <w:rFonts w:eastAsiaTheme="minorHAnsi"/>
          <w:noProof/>
          <w:sz w:val="22"/>
          <w:szCs w:val="22"/>
          <w:lang w:val="en-IE" w:eastAsia="en-US"/>
        </w:rPr>
      </w:pPr>
      <w:r w:rsidRPr="004C751E">
        <w:rPr>
          <w:rFonts w:eastAsiaTheme="minorHAnsi"/>
          <w:noProof/>
          <w:sz w:val="22"/>
          <w:szCs w:val="22"/>
          <w:lang w:val="en-IE" w:eastAsia="en-US"/>
        </w:rPr>
        <w:t xml:space="preserve">Press Council (2025) Annual report, </w:t>
      </w:r>
      <w:hyperlink r:id="rId68" w:history="1">
        <w:r w:rsidRPr="004C751E">
          <w:rPr>
            <w:rFonts w:eastAsiaTheme="minorHAnsi"/>
            <w:noProof/>
            <w:color w:val="0563C1" w:themeColor="hyperlink"/>
            <w:sz w:val="22"/>
            <w:szCs w:val="22"/>
            <w:u w:val="single"/>
            <w:lang w:val="en-IE" w:eastAsia="en-US"/>
          </w:rPr>
          <w:t>https://rvdj.nl/assets/uploads/2025/07/Raad-voor-de-Journalistiek-Jaarverslag-2024-V5.pdf</w:t>
        </w:r>
      </w:hyperlink>
      <w:r w:rsidRPr="004C751E">
        <w:rPr>
          <w:rFonts w:eastAsiaTheme="minorHAnsi"/>
          <w:noProof/>
          <w:sz w:val="22"/>
          <w:szCs w:val="22"/>
          <w:lang w:val="en-IE" w:eastAsia="en-US"/>
        </w:rPr>
        <w:t>.</w:t>
      </w:r>
    </w:p>
    <w:p w14:paraId="64855174" w14:textId="68AF86DA" w:rsidR="0079415B" w:rsidRPr="004C751E" w:rsidRDefault="0079415B" w:rsidP="00D76AF1">
      <w:pPr>
        <w:spacing w:after="120"/>
        <w:rPr>
          <w:rFonts w:eastAsia="Calibri"/>
          <w:i/>
          <w:iCs/>
          <w:noProof/>
          <w:sz w:val="22"/>
          <w:szCs w:val="22"/>
          <w:lang w:val="en-IE" w:eastAsia="en-US"/>
        </w:rPr>
      </w:pPr>
      <w:r w:rsidRPr="004C751E">
        <w:rPr>
          <w:rFonts w:eastAsiaTheme="minorHAnsi"/>
          <w:noProof/>
          <w:sz w:val="22"/>
          <w:szCs w:val="22"/>
          <w:lang w:val="en-IE" w:eastAsia="en-US"/>
        </w:rPr>
        <w:t xml:space="preserve">Public Prosecution Service (2026), </w:t>
      </w:r>
      <w:r w:rsidRPr="004C751E">
        <w:rPr>
          <w:rFonts w:eastAsia="Calibri"/>
          <w:i/>
          <w:iCs/>
          <w:noProof/>
          <w:sz w:val="22"/>
          <w:szCs w:val="22"/>
          <w:lang w:val="en-IE" w:eastAsia="en-US"/>
        </w:rPr>
        <w:t>additional written input from the Public Prosecution Service for the 2026 Rule of Law Report.</w:t>
      </w:r>
    </w:p>
    <w:p w14:paraId="6992ADC6" w14:textId="6AF3228C" w:rsidR="0079415B" w:rsidRPr="004C751E" w:rsidRDefault="0079415B" w:rsidP="00D76AF1">
      <w:pPr>
        <w:spacing w:after="120"/>
        <w:rPr>
          <w:rFonts w:eastAsiaTheme="minorHAnsi"/>
          <w:noProof/>
          <w:sz w:val="22"/>
          <w:szCs w:val="22"/>
          <w:lang w:val="en-IE" w:eastAsia="en-US"/>
        </w:rPr>
      </w:pPr>
      <w:r w:rsidRPr="004C751E">
        <w:rPr>
          <w:rFonts w:eastAsiaTheme="minorHAnsi"/>
          <w:noProof/>
          <w:sz w:val="22"/>
          <w:szCs w:val="22"/>
          <w:lang w:val="en-IE" w:eastAsia="en-US"/>
        </w:rPr>
        <w:t xml:space="preserve">Public Prosecution Service (2026a), Annual Report 2025, may 2026, </w:t>
      </w:r>
      <w:hyperlink r:id="rId69" w:history="1">
        <w:r w:rsidRPr="004C751E">
          <w:rPr>
            <w:rFonts w:eastAsiaTheme="minorHAnsi"/>
            <w:noProof/>
            <w:color w:val="0563C1" w:themeColor="hyperlink"/>
            <w:sz w:val="22"/>
            <w:szCs w:val="22"/>
            <w:u w:val="single"/>
            <w:lang w:val="en-IE" w:eastAsia="en-US"/>
          </w:rPr>
          <w:t>https://www.om.nl/actueel/magazines/jaarbericht/2025/01</w:t>
        </w:r>
      </w:hyperlink>
    </w:p>
    <w:p w14:paraId="3B216E94" w14:textId="6282607A" w:rsidR="0079415B" w:rsidRPr="004C751E" w:rsidRDefault="0079415B" w:rsidP="00D76AF1">
      <w:pPr>
        <w:spacing w:after="120"/>
        <w:rPr>
          <w:rFonts w:eastAsiaTheme="minorHAnsi"/>
          <w:noProof/>
          <w:sz w:val="22"/>
          <w:szCs w:val="22"/>
          <w:lang w:val="en-IE" w:eastAsia="en-US"/>
        </w:rPr>
      </w:pPr>
      <w:r w:rsidRPr="004C751E">
        <w:rPr>
          <w:rFonts w:eastAsiaTheme="minorHAnsi"/>
          <w:noProof/>
          <w:sz w:val="22"/>
          <w:szCs w:val="22"/>
          <w:lang w:val="en-IE" w:eastAsia="en-US"/>
        </w:rPr>
        <w:t>Public Prosecution Service (2026b), Response of the Public Prosecution Service to the report of the Procurator General of the Supreme Court (</w:t>
      </w:r>
      <w:r w:rsidRPr="00903B26">
        <w:rPr>
          <w:rFonts w:eastAsiaTheme="minorHAnsi"/>
          <w:i/>
          <w:iCs/>
          <w:noProof/>
          <w:sz w:val="22"/>
          <w:szCs w:val="22"/>
          <w:lang w:val="en-IE" w:eastAsia="en-US"/>
        </w:rPr>
        <w:t>Reactie Openbaar Ministerie op rapport procureur-generaal Hoge Raad</w:t>
      </w:r>
      <w:r w:rsidRPr="004C751E">
        <w:rPr>
          <w:rFonts w:eastAsiaTheme="minorHAnsi"/>
          <w:noProof/>
          <w:sz w:val="22"/>
          <w:szCs w:val="22"/>
          <w:lang w:val="en-IE" w:eastAsia="en-US"/>
        </w:rPr>
        <w:t xml:space="preserve">), 27 May 2026, </w:t>
      </w:r>
      <w:hyperlink r:id="rId70" w:history="1">
        <w:r w:rsidRPr="004C751E">
          <w:rPr>
            <w:rFonts w:eastAsiaTheme="minorHAnsi"/>
            <w:noProof/>
            <w:color w:val="0563C1" w:themeColor="hyperlink"/>
            <w:sz w:val="22"/>
            <w:szCs w:val="22"/>
            <w:u w:val="single"/>
            <w:lang w:val="en-IE" w:eastAsia="en-US"/>
          </w:rPr>
          <w:t>https://www.om.nl/actueel/nieuws/2026/05/27/reactie-openbaar-ministerie-op-rapport-procureur-generaal-hoge-raad</w:t>
        </w:r>
      </w:hyperlink>
      <w:r w:rsidRPr="004C751E">
        <w:rPr>
          <w:rFonts w:eastAsiaTheme="minorHAnsi"/>
          <w:noProof/>
          <w:sz w:val="22"/>
          <w:szCs w:val="22"/>
          <w:lang w:val="en-IE" w:eastAsia="en-US"/>
        </w:rPr>
        <w:t xml:space="preserve">. </w:t>
      </w:r>
    </w:p>
    <w:p w14:paraId="4CABEDA9" w14:textId="77777777" w:rsidR="00DE12B0" w:rsidRPr="004C751E" w:rsidRDefault="00DE12B0" w:rsidP="00D76AF1">
      <w:pPr>
        <w:spacing w:after="120"/>
        <w:rPr>
          <w:rFonts w:eastAsiaTheme="minorHAnsi"/>
          <w:noProof/>
          <w:sz w:val="22"/>
          <w:szCs w:val="22"/>
          <w:lang w:val="en-IE" w:eastAsia="en-US"/>
        </w:rPr>
      </w:pPr>
      <w:r w:rsidRPr="004C751E">
        <w:rPr>
          <w:rFonts w:eastAsiaTheme="minorHAnsi"/>
          <w:noProof/>
          <w:sz w:val="22"/>
          <w:szCs w:val="22"/>
          <w:lang w:val="en-IE" w:eastAsia="en-US"/>
        </w:rPr>
        <w:t>Public Prosecution Service (2025), Public Prosecution Service goes online step by step (</w:t>
      </w:r>
      <w:r w:rsidRPr="004C751E">
        <w:rPr>
          <w:rFonts w:eastAsiaTheme="minorHAnsi"/>
          <w:i/>
          <w:iCs/>
          <w:noProof/>
          <w:sz w:val="22"/>
          <w:szCs w:val="22"/>
          <w:lang w:val="en-IE" w:eastAsia="en-US"/>
        </w:rPr>
        <w:t>OM gaat stapsgewijs online</w:t>
      </w:r>
      <w:r w:rsidRPr="004C751E">
        <w:rPr>
          <w:rFonts w:eastAsiaTheme="minorHAnsi"/>
          <w:noProof/>
          <w:sz w:val="22"/>
          <w:szCs w:val="22"/>
          <w:lang w:val="en-IE" w:eastAsia="en-US"/>
        </w:rPr>
        <w:t xml:space="preserve">), 4 August 2025, </w:t>
      </w:r>
      <w:hyperlink r:id="rId71" w:history="1">
        <w:r w:rsidRPr="004C751E">
          <w:rPr>
            <w:rFonts w:eastAsiaTheme="minorHAnsi"/>
            <w:noProof/>
            <w:color w:val="0563C1" w:themeColor="hyperlink"/>
            <w:sz w:val="22"/>
            <w:szCs w:val="22"/>
            <w:u w:val="single"/>
            <w:lang w:val="en-IE" w:eastAsia="en-US"/>
          </w:rPr>
          <w:t>https://www.om.nl/actueel/nieuws/2025/08/04/om-gaat-stapsgewijs-online</w:t>
        </w:r>
      </w:hyperlink>
      <w:r w:rsidRPr="004C751E">
        <w:rPr>
          <w:rFonts w:eastAsiaTheme="minorHAnsi"/>
          <w:noProof/>
          <w:sz w:val="22"/>
          <w:szCs w:val="22"/>
          <w:lang w:val="en-IE" w:eastAsia="en-US"/>
        </w:rPr>
        <w:t xml:space="preserve">. </w:t>
      </w:r>
    </w:p>
    <w:p w14:paraId="5803AD7A" w14:textId="77777777" w:rsidR="0079415B" w:rsidRPr="004C751E" w:rsidRDefault="0079415B" w:rsidP="00D76AF1">
      <w:pPr>
        <w:spacing w:after="120"/>
        <w:rPr>
          <w:rFonts w:eastAsiaTheme="minorHAnsi"/>
          <w:noProof/>
          <w:sz w:val="22"/>
          <w:szCs w:val="22"/>
          <w:lang w:val="en-IE" w:eastAsia="en-US"/>
        </w:rPr>
      </w:pPr>
      <w:r w:rsidRPr="004C751E">
        <w:rPr>
          <w:rFonts w:eastAsiaTheme="minorHAnsi"/>
          <w:noProof/>
          <w:sz w:val="22"/>
          <w:szCs w:val="22"/>
          <w:lang w:val="en-IE" w:eastAsia="en-US"/>
        </w:rPr>
        <w:t>Research and Data Centre WODC (2026), National Risk Assessment on Corruption (</w:t>
      </w:r>
      <w:r w:rsidRPr="004C751E">
        <w:rPr>
          <w:rFonts w:eastAsiaTheme="minorHAnsi"/>
          <w:i/>
          <w:iCs/>
          <w:noProof/>
          <w:sz w:val="22"/>
          <w:szCs w:val="22"/>
          <w:lang w:val="en-IE" w:eastAsia="en-US"/>
        </w:rPr>
        <w:t>National Risk Assessment Corruptie</w:t>
      </w:r>
      <w:r w:rsidRPr="004C751E">
        <w:rPr>
          <w:rFonts w:eastAsiaTheme="minorHAnsi"/>
          <w:noProof/>
          <w:sz w:val="22"/>
          <w:szCs w:val="22"/>
          <w:lang w:val="en-IE" w:eastAsia="en-US"/>
        </w:rPr>
        <w:t xml:space="preserve">), February 2026, </w:t>
      </w:r>
      <w:hyperlink r:id="rId72" w:history="1">
        <w:r w:rsidRPr="004C751E">
          <w:rPr>
            <w:rFonts w:eastAsiaTheme="minorHAnsi"/>
            <w:noProof/>
            <w:color w:val="0563C1" w:themeColor="hyperlink"/>
            <w:sz w:val="22"/>
            <w:szCs w:val="22"/>
            <w:u w:val="single"/>
            <w:lang w:val="en-IE" w:eastAsia="en-US"/>
          </w:rPr>
          <w:t>https://repository.wodc.nl/handle/20.500.12832/3521</w:t>
        </w:r>
      </w:hyperlink>
      <w:r w:rsidRPr="004C751E">
        <w:rPr>
          <w:rFonts w:eastAsiaTheme="minorHAnsi"/>
          <w:noProof/>
          <w:sz w:val="22"/>
          <w:szCs w:val="22"/>
          <w:lang w:val="en-IE" w:eastAsia="en-US"/>
        </w:rPr>
        <w:t xml:space="preserve">. </w:t>
      </w:r>
    </w:p>
    <w:p w14:paraId="2023183C" w14:textId="77777777" w:rsidR="0079415B" w:rsidRPr="004C751E" w:rsidRDefault="0079415B" w:rsidP="00D76AF1">
      <w:pPr>
        <w:spacing w:after="120"/>
        <w:rPr>
          <w:rFonts w:eastAsiaTheme="minorHAnsi"/>
          <w:noProof/>
          <w:sz w:val="22"/>
          <w:szCs w:val="22"/>
          <w:lang w:val="en-IE" w:eastAsia="en-US"/>
        </w:rPr>
      </w:pPr>
      <w:r w:rsidRPr="004C751E">
        <w:rPr>
          <w:rFonts w:eastAsiaTheme="minorHAnsi"/>
          <w:noProof/>
          <w:sz w:val="22"/>
          <w:szCs w:val="22"/>
          <w:lang w:val="en-IE" w:eastAsia="en-US"/>
        </w:rPr>
        <w:t>Research and Data Centre WODC / Pro Facto (2026), Experiences of participants in legal proceedings with the Public Prosecution Service penal order (</w:t>
      </w:r>
      <w:r w:rsidRPr="00903B26">
        <w:rPr>
          <w:rFonts w:eastAsiaTheme="minorHAnsi"/>
          <w:i/>
          <w:iCs/>
          <w:noProof/>
          <w:sz w:val="22"/>
          <w:szCs w:val="22"/>
          <w:lang w:val="en-IE" w:eastAsia="en-US"/>
        </w:rPr>
        <w:t>Ervaringen van procesdeelnemers met de OM-strafbeschikking</w:t>
      </w:r>
      <w:r w:rsidRPr="004C751E">
        <w:rPr>
          <w:rFonts w:eastAsiaTheme="minorHAnsi"/>
          <w:noProof/>
          <w:sz w:val="22"/>
          <w:szCs w:val="22"/>
          <w:lang w:val="en-IE" w:eastAsia="en-US"/>
        </w:rPr>
        <w:t xml:space="preserve">), 1 June 2026, </w:t>
      </w:r>
      <w:hyperlink r:id="rId73" w:history="1">
        <w:r w:rsidRPr="004C751E">
          <w:rPr>
            <w:rFonts w:eastAsiaTheme="minorHAnsi"/>
            <w:noProof/>
            <w:color w:val="0563C1" w:themeColor="hyperlink"/>
            <w:sz w:val="22"/>
            <w:szCs w:val="22"/>
            <w:u w:val="single"/>
            <w:lang w:val="en-IE" w:eastAsia="en-US"/>
          </w:rPr>
          <w:t>https://repository.wodc.nl/entities/publication/b5ae9f76-7496-4438-93dc-e77b0c1da791</w:t>
        </w:r>
      </w:hyperlink>
      <w:r w:rsidRPr="004C751E">
        <w:rPr>
          <w:rFonts w:eastAsiaTheme="minorHAnsi"/>
          <w:noProof/>
          <w:sz w:val="22"/>
          <w:szCs w:val="22"/>
          <w:lang w:val="en-IE" w:eastAsia="en-US"/>
        </w:rPr>
        <w:t xml:space="preserve">. </w:t>
      </w:r>
    </w:p>
    <w:p w14:paraId="7D657362" w14:textId="77777777" w:rsidR="0079415B" w:rsidRPr="004C751E" w:rsidRDefault="0079415B" w:rsidP="00D76AF1">
      <w:pPr>
        <w:spacing w:after="120"/>
        <w:rPr>
          <w:rFonts w:eastAsiaTheme="minorHAnsi"/>
          <w:noProof/>
          <w:sz w:val="22"/>
          <w:szCs w:val="22"/>
          <w:lang w:val="en-IE" w:eastAsia="en-US"/>
        </w:rPr>
      </w:pPr>
      <w:r w:rsidRPr="004C751E">
        <w:rPr>
          <w:rFonts w:eastAsiaTheme="minorHAnsi"/>
          <w:noProof/>
          <w:sz w:val="22"/>
          <w:szCs w:val="22"/>
          <w:lang w:val="en-IE" w:eastAsia="en-US"/>
        </w:rPr>
        <w:t>Rijksuniversiteit Groningen, Pro Facto, Universiteit van Amsterdam and Tilburg University (2025). , The right to demonstrate in the democratic rule-of-law-based State (</w:t>
      </w:r>
      <w:r w:rsidRPr="00903B26">
        <w:rPr>
          <w:rFonts w:eastAsiaTheme="minorHAnsi"/>
          <w:i/>
          <w:noProof/>
          <w:sz w:val="22"/>
          <w:szCs w:val="22"/>
          <w:lang w:val="en-IE" w:eastAsia="en-US"/>
        </w:rPr>
        <w:t>Het recht om te demonstreren in de democratische rechtsstaat</w:t>
      </w:r>
      <w:r w:rsidRPr="004C751E">
        <w:rPr>
          <w:rFonts w:eastAsiaTheme="minorHAnsi"/>
          <w:noProof/>
          <w:sz w:val="22"/>
          <w:szCs w:val="22"/>
          <w:lang w:val="en-IE" w:eastAsia="en-US"/>
        </w:rPr>
        <w:t xml:space="preserve">), October 2025, available at: </w:t>
      </w:r>
      <w:hyperlink r:id="rId74" w:history="1">
        <w:r w:rsidRPr="004C751E">
          <w:rPr>
            <w:rFonts w:eastAsiaTheme="minorHAnsi"/>
            <w:noProof/>
            <w:color w:val="0563C1" w:themeColor="hyperlink"/>
            <w:sz w:val="22"/>
            <w:szCs w:val="22"/>
            <w:u w:val="single"/>
            <w:lang w:val="en-IE" w:eastAsia="en-US"/>
          </w:rPr>
          <w:t>https://www.wodc.nl/actueel/nieuws/2025/12/11/aanpassing-wetten-rond-demonstratierecht-niet-nodig-en-niet-effectief</w:t>
        </w:r>
      </w:hyperlink>
      <w:r w:rsidRPr="004C751E">
        <w:rPr>
          <w:rFonts w:eastAsiaTheme="minorHAnsi"/>
          <w:noProof/>
          <w:sz w:val="22"/>
          <w:szCs w:val="22"/>
          <w:lang w:val="en-IE" w:eastAsia="en-US"/>
        </w:rPr>
        <w:t xml:space="preserve">. </w:t>
      </w:r>
    </w:p>
    <w:p w14:paraId="380882A5" w14:textId="77777777" w:rsidR="0079415B" w:rsidRPr="004C751E" w:rsidRDefault="0079415B" w:rsidP="00D76AF1">
      <w:pPr>
        <w:spacing w:after="120"/>
        <w:rPr>
          <w:rFonts w:eastAsiaTheme="minorHAnsi"/>
          <w:noProof/>
          <w:sz w:val="22"/>
          <w:szCs w:val="22"/>
          <w:lang w:val="en-IE" w:eastAsia="en-US"/>
        </w:rPr>
      </w:pPr>
      <w:r w:rsidRPr="004C751E">
        <w:rPr>
          <w:rFonts w:eastAsiaTheme="minorHAnsi"/>
          <w:noProof/>
          <w:sz w:val="22"/>
          <w:szCs w:val="22"/>
          <w:lang w:val="en-IE" w:eastAsia="en-US"/>
        </w:rPr>
        <w:t xml:space="preserve">Strategic Knowledge Centre on Subversive Crime SKC (2026), Thematic Study on Criminal Infiltration, February 2026, </w:t>
      </w:r>
      <w:hyperlink r:id="rId75" w:history="1">
        <w:r w:rsidRPr="004C751E">
          <w:rPr>
            <w:rFonts w:eastAsiaTheme="minorHAnsi"/>
            <w:noProof/>
            <w:color w:val="0563C1" w:themeColor="hyperlink"/>
            <w:sz w:val="22"/>
            <w:szCs w:val="22"/>
            <w:u w:val="single"/>
            <w:lang w:val="en-IE" w:eastAsia="en-US"/>
          </w:rPr>
          <w:t>https://skc-oc.nl/nieuwe-themastudie-criminele-inmenging/</w:t>
        </w:r>
      </w:hyperlink>
      <w:r w:rsidRPr="004C751E">
        <w:rPr>
          <w:noProof/>
          <w:sz w:val="22"/>
          <w:szCs w:val="22"/>
        </w:rPr>
        <w:t>.</w:t>
      </w:r>
    </w:p>
    <w:p w14:paraId="3988BA26" w14:textId="77777777" w:rsidR="0079415B" w:rsidRPr="004C751E" w:rsidRDefault="0079415B" w:rsidP="00D76AF1">
      <w:pPr>
        <w:spacing w:after="120"/>
        <w:rPr>
          <w:rFonts w:eastAsiaTheme="minorHAnsi"/>
          <w:noProof/>
          <w:sz w:val="22"/>
          <w:szCs w:val="22"/>
          <w:lang w:val="en-IE" w:eastAsia="en-US"/>
        </w:rPr>
      </w:pPr>
      <w:r w:rsidRPr="004C751E">
        <w:rPr>
          <w:rFonts w:eastAsiaTheme="minorHAnsi"/>
          <w:noProof/>
          <w:sz w:val="22"/>
          <w:szCs w:val="22"/>
          <w:lang w:val="en-IE" w:eastAsia="en-US"/>
        </w:rPr>
        <w:t>Supreme Court (2026), Follow-up investigation by PG at the Supreme Court into the Public Prosecution Service penalty order (</w:t>
      </w:r>
      <w:r w:rsidRPr="00903B26">
        <w:rPr>
          <w:rFonts w:eastAsiaTheme="minorHAnsi"/>
          <w:i/>
          <w:iCs/>
          <w:noProof/>
          <w:sz w:val="22"/>
          <w:szCs w:val="22"/>
          <w:lang w:val="en-IE" w:eastAsia="en-US"/>
        </w:rPr>
        <w:t>Vervolgonderzoek PG bij de Hoge Raad naar de OM-strafbeschikking</w:t>
      </w:r>
      <w:r w:rsidRPr="004C751E">
        <w:rPr>
          <w:rFonts w:eastAsiaTheme="minorHAnsi"/>
          <w:noProof/>
          <w:sz w:val="22"/>
          <w:szCs w:val="22"/>
          <w:lang w:val="en-IE" w:eastAsia="en-US"/>
        </w:rPr>
        <w:t xml:space="preserve">), </w:t>
      </w:r>
      <w:hyperlink r:id="rId76" w:history="1">
        <w:r w:rsidRPr="004C751E">
          <w:rPr>
            <w:rFonts w:eastAsiaTheme="minorHAnsi"/>
            <w:noProof/>
            <w:color w:val="0563C1" w:themeColor="hyperlink"/>
            <w:sz w:val="22"/>
            <w:szCs w:val="22"/>
            <w:u w:val="single"/>
            <w:lang w:val="en-IE" w:eastAsia="en-US"/>
          </w:rPr>
          <w:t>https://www.hogeraad.nl/actueel/nieuwsoverzicht/2025/maart/vervolgonderzoek-pg-hoge-raad-strafbeschikking/</w:t>
        </w:r>
      </w:hyperlink>
      <w:r w:rsidRPr="004C751E">
        <w:rPr>
          <w:rFonts w:eastAsiaTheme="minorHAnsi"/>
          <w:noProof/>
          <w:sz w:val="22"/>
          <w:szCs w:val="22"/>
          <w:lang w:val="en-IE" w:eastAsia="en-US"/>
        </w:rPr>
        <w:t xml:space="preserve">. </w:t>
      </w:r>
    </w:p>
    <w:p w14:paraId="4D5A2536" w14:textId="77777777" w:rsidR="0079415B" w:rsidRPr="004C751E" w:rsidRDefault="0079415B" w:rsidP="00D76AF1">
      <w:pPr>
        <w:spacing w:after="120"/>
        <w:rPr>
          <w:rFonts w:eastAsiaTheme="minorHAnsi"/>
          <w:noProof/>
          <w:sz w:val="22"/>
          <w:szCs w:val="22"/>
          <w:lang w:val="en-IE" w:eastAsia="en-US"/>
        </w:rPr>
      </w:pPr>
      <w:r w:rsidRPr="004C751E">
        <w:rPr>
          <w:rFonts w:eastAsiaTheme="minorHAnsi"/>
          <w:noProof/>
          <w:sz w:val="22"/>
          <w:szCs w:val="22"/>
          <w:lang w:val="en-IE" w:eastAsia="en-US"/>
        </w:rPr>
        <w:t>Supreme Court (2026a), Results of follow-up investigation into the Public Prosecution Service penalty order presented (</w:t>
      </w:r>
      <w:r w:rsidRPr="00903B26">
        <w:rPr>
          <w:rFonts w:eastAsiaTheme="minorHAnsi"/>
          <w:i/>
          <w:iCs/>
          <w:noProof/>
          <w:sz w:val="22"/>
          <w:szCs w:val="22"/>
          <w:lang w:val="en-IE" w:eastAsia="en-US"/>
        </w:rPr>
        <w:t>Resultaten vervolgonderzoek over de OM-strafbeschikking aangeboden</w:t>
      </w:r>
      <w:r w:rsidRPr="004C751E">
        <w:rPr>
          <w:rFonts w:eastAsiaTheme="minorHAnsi"/>
          <w:noProof/>
          <w:sz w:val="22"/>
          <w:szCs w:val="22"/>
          <w:lang w:val="en-IE" w:eastAsia="en-US"/>
        </w:rPr>
        <w:t xml:space="preserve">), 26 May 2026, </w:t>
      </w:r>
      <w:hyperlink r:id="rId77" w:history="1">
        <w:r w:rsidRPr="004C751E">
          <w:rPr>
            <w:rFonts w:eastAsiaTheme="minorHAnsi"/>
            <w:noProof/>
            <w:color w:val="0563C1" w:themeColor="hyperlink"/>
            <w:sz w:val="22"/>
            <w:szCs w:val="22"/>
            <w:u w:val="single"/>
            <w:lang w:val="en-IE" w:eastAsia="en-US"/>
          </w:rPr>
          <w:t>https://www.hogeraad.nl/actueel/nieuwsoverzicht/2026/mei/resultaten-vervolgonderzoek-strafbeschikking-aangeboden/</w:t>
        </w:r>
      </w:hyperlink>
      <w:r w:rsidRPr="004C751E">
        <w:rPr>
          <w:rFonts w:eastAsiaTheme="minorHAnsi"/>
          <w:noProof/>
          <w:sz w:val="22"/>
          <w:szCs w:val="22"/>
          <w:lang w:val="en-IE" w:eastAsia="en-US"/>
        </w:rPr>
        <w:t xml:space="preserve">. </w:t>
      </w:r>
    </w:p>
    <w:p w14:paraId="1652678E" w14:textId="70952AA8" w:rsidR="0079415B" w:rsidRPr="004C751E" w:rsidRDefault="00EF4384" w:rsidP="00D76AF1">
      <w:pPr>
        <w:spacing w:after="120"/>
        <w:rPr>
          <w:rFonts w:eastAsiaTheme="minorHAnsi"/>
          <w:noProof/>
          <w:sz w:val="22"/>
          <w:szCs w:val="22"/>
          <w:lang w:val="en-IE" w:eastAsia="en-US"/>
        </w:rPr>
      </w:pPr>
      <w:r w:rsidRPr="004C751E">
        <w:rPr>
          <w:rFonts w:eastAsiaTheme="minorHAnsi"/>
          <w:noProof/>
          <w:sz w:val="22"/>
          <w:szCs w:val="22"/>
          <w:lang w:val="en-IE" w:eastAsia="en-US"/>
        </w:rPr>
        <w:t>Supreme Court</w:t>
      </w:r>
      <w:r w:rsidR="00DE12B0" w:rsidRPr="004C751E">
        <w:rPr>
          <w:rFonts w:eastAsiaTheme="minorHAnsi"/>
          <w:noProof/>
          <w:sz w:val="22"/>
          <w:szCs w:val="22"/>
          <w:lang w:val="en-IE" w:eastAsia="en-US"/>
        </w:rPr>
        <w:t xml:space="preserve"> (2025)</w:t>
      </w:r>
      <w:r w:rsidRPr="004C751E">
        <w:rPr>
          <w:rFonts w:eastAsiaTheme="minorHAnsi"/>
          <w:noProof/>
          <w:sz w:val="22"/>
          <w:szCs w:val="22"/>
          <w:lang w:val="en-IE" w:eastAsia="en-US"/>
        </w:rPr>
        <w:t>,</w:t>
      </w:r>
      <w:r w:rsidR="0079415B" w:rsidRPr="004C751E">
        <w:rPr>
          <w:rFonts w:eastAsiaTheme="minorHAnsi"/>
          <w:noProof/>
          <w:sz w:val="22"/>
          <w:szCs w:val="22"/>
          <w:lang w:val="en-IE" w:eastAsia="en-US"/>
        </w:rPr>
        <w:t xml:space="preserve"> judgment of 13 June 2025, ECLI:NL:HR:2025:902. </w:t>
      </w:r>
      <w:hyperlink r:id="rId78" w:tooltip="Hoge Raad 13 juni 2025, ECLI:NL:HR:2025:902" w:history="1">
        <w:r w:rsidR="0079415B" w:rsidRPr="004C751E">
          <w:rPr>
            <w:rFonts w:eastAsiaTheme="minorHAnsi"/>
            <w:noProof/>
            <w:color w:val="0563C1" w:themeColor="hyperlink"/>
            <w:sz w:val="22"/>
            <w:szCs w:val="22"/>
            <w:u w:val="single"/>
            <w:lang w:val="en-IE" w:eastAsia="en-US"/>
          </w:rPr>
          <w:t>https://deeplink.rechtspraak.nl/uitspraak?id=ECLI:NL:HR:2025:902</w:t>
        </w:r>
      </w:hyperlink>
      <w:r w:rsidR="0079415B" w:rsidRPr="004C751E">
        <w:rPr>
          <w:rFonts w:eastAsiaTheme="minorHAnsi"/>
          <w:noProof/>
          <w:sz w:val="22"/>
          <w:szCs w:val="22"/>
          <w:lang w:val="en-IE" w:eastAsia="en-US"/>
        </w:rPr>
        <w:t xml:space="preserve">. </w:t>
      </w:r>
    </w:p>
    <w:p w14:paraId="725B6B61" w14:textId="77777777" w:rsidR="0079415B" w:rsidRPr="004C751E" w:rsidRDefault="0079415B" w:rsidP="00D76AF1">
      <w:pPr>
        <w:spacing w:after="120"/>
        <w:rPr>
          <w:rFonts w:eastAsiaTheme="minorHAnsi"/>
          <w:noProof/>
          <w:sz w:val="22"/>
          <w:szCs w:val="22"/>
          <w:lang w:val="en-IE" w:eastAsia="en-US"/>
        </w:rPr>
      </w:pPr>
      <w:r w:rsidRPr="004C751E">
        <w:rPr>
          <w:rFonts w:eastAsiaTheme="minorHAnsi"/>
          <w:noProof/>
          <w:sz w:val="22"/>
          <w:szCs w:val="22"/>
          <w:lang w:val="en-IE" w:eastAsia="en-US"/>
        </w:rPr>
        <w:t xml:space="preserve">Transparency International Netherlands (2026), First reaction of TI NL to the new coalition agreement, March 2026, </w:t>
      </w:r>
      <w:hyperlink r:id="rId79" w:history="1">
        <w:r w:rsidRPr="004C751E">
          <w:rPr>
            <w:rFonts w:eastAsiaTheme="minorHAnsi"/>
            <w:noProof/>
            <w:color w:val="0563C1" w:themeColor="hyperlink"/>
            <w:sz w:val="22"/>
            <w:szCs w:val="22"/>
            <w:u w:val="single"/>
            <w:lang w:val="en-IE" w:eastAsia="en-US"/>
          </w:rPr>
          <w:t>https://www.transparency.nl/nieuws/2026/03/eerste-reactie-ti-nl-op-het-coalitieakkoord-van-d66-vvd-en-cda/</w:t>
        </w:r>
      </w:hyperlink>
      <w:r w:rsidRPr="004C751E">
        <w:rPr>
          <w:rFonts w:eastAsiaTheme="minorHAnsi"/>
          <w:noProof/>
          <w:sz w:val="22"/>
          <w:szCs w:val="22"/>
          <w:lang w:val="en-IE" w:eastAsia="en-US"/>
        </w:rPr>
        <w:t>.</w:t>
      </w:r>
    </w:p>
    <w:p w14:paraId="6F344D28" w14:textId="30D5579A" w:rsidR="0079415B" w:rsidRPr="004C751E" w:rsidRDefault="0079415B" w:rsidP="00D76AF1">
      <w:pPr>
        <w:spacing w:after="120"/>
        <w:rPr>
          <w:rFonts w:eastAsiaTheme="minorHAnsi"/>
          <w:noProof/>
          <w:sz w:val="22"/>
          <w:szCs w:val="22"/>
          <w:lang w:val="en-IE" w:eastAsia="en-US"/>
        </w:rPr>
      </w:pPr>
      <w:r w:rsidRPr="004C751E">
        <w:rPr>
          <w:rFonts w:eastAsiaTheme="minorHAnsi"/>
          <w:noProof/>
          <w:sz w:val="22"/>
          <w:szCs w:val="22"/>
          <w:lang w:val="en-IE" w:eastAsia="en-US"/>
        </w:rPr>
        <w:t>Tweede Kamer (2026), Written questions: The independent position of the District Court of The Hague and the ruling on the Greenpeace case about 'protecting' Bonaire (</w:t>
      </w:r>
      <w:r w:rsidRPr="00903B26">
        <w:rPr>
          <w:rFonts w:eastAsiaTheme="minorHAnsi"/>
          <w:i/>
          <w:noProof/>
          <w:sz w:val="22"/>
          <w:szCs w:val="22"/>
          <w:lang w:val="en-IE" w:eastAsia="en-US"/>
        </w:rPr>
        <w:t>Schriftelijke vragen: De onafhankelijke positie van de rechtbank Den Haag en de uitspraak over de zaak van Greenpeace over het ‘beschermen’ van Bonaire</w:t>
      </w:r>
      <w:r w:rsidRPr="00903B26">
        <w:rPr>
          <w:rFonts w:eastAsiaTheme="minorHAnsi"/>
          <w:noProof/>
          <w:sz w:val="22"/>
          <w:szCs w:val="22"/>
          <w:lang w:val="en-IE" w:eastAsia="en-US"/>
        </w:rPr>
        <w:t>),</w:t>
      </w:r>
      <w:r w:rsidRPr="004C751E">
        <w:rPr>
          <w:rFonts w:eastAsiaTheme="minorHAnsi"/>
          <w:noProof/>
          <w:sz w:val="22"/>
          <w:szCs w:val="22"/>
          <w:lang w:val="en-IE" w:eastAsia="en-US"/>
        </w:rPr>
        <w:t xml:space="preserve"> 12 February 2026, </w:t>
      </w:r>
      <w:hyperlink r:id="rId80">
        <w:r w:rsidRPr="004C751E">
          <w:rPr>
            <w:rFonts w:eastAsiaTheme="minorHAnsi"/>
            <w:noProof/>
            <w:color w:val="0563C1" w:themeColor="hyperlink"/>
            <w:sz w:val="22"/>
            <w:szCs w:val="22"/>
            <w:u w:val="single"/>
            <w:lang w:val="en-IE" w:eastAsia="en-US"/>
          </w:rPr>
          <w:t>https://www.tweedekamer.nl/kamerstukken/kamervragen/detail?id=2026Z03080&amp;did=2026D06913</w:t>
        </w:r>
      </w:hyperlink>
      <w:r w:rsidRPr="004C751E">
        <w:rPr>
          <w:rFonts w:eastAsiaTheme="minorHAnsi"/>
          <w:noProof/>
          <w:sz w:val="22"/>
          <w:szCs w:val="22"/>
          <w:lang w:val="en-IE" w:eastAsia="en-US"/>
        </w:rPr>
        <w:t xml:space="preserve">. </w:t>
      </w:r>
    </w:p>
    <w:p w14:paraId="4480F4D0" w14:textId="77777777" w:rsidR="0079415B" w:rsidRPr="004C751E" w:rsidRDefault="0079415B" w:rsidP="00D76AF1">
      <w:pPr>
        <w:spacing w:after="120"/>
        <w:rPr>
          <w:rFonts w:eastAsiaTheme="minorHAnsi"/>
          <w:noProof/>
          <w:sz w:val="22"/>
          <w:szCs w:val="22"/>
          <w:lang w:val="en-IE" w:eastAsia="en-US"/>
        </w:rPr>
      </w:pPr>
      <w:r w:rsidRPr="004C751E">
        <w:rPr>
          <w:rFonts w:eastAsiaTheme="minorHAnsi"/>
          <w:noProof/>
          <w:sz w:val="22"/>
          <w:szCs w:val="22"/>
          <w:lang w:val="en-IE" w:eastAsia="en-US"/>
        </w:rPr>
        <w:t>Tweede Kamer (2026a), Written questions: The interview with an asylum judge in NRC Handelsblad (</w:t>
      </w:r>
      <w:r w:rsidRPr="00903B26">
        <w:rPr>
          <w:rFonts w:eastAsiaTheme="minorHAnsi"/>
          <w:i/>
          <w:noProof/>
          <w:sz w:val="22"/>
          <w:szCs w:val="22"/>
          <w:lang w:val="en-IE" w:eastAsia="en-US"/>
        </w:rPr>
        <w:t>Schriftelijke vragen: Het interview met een asielrechter in NRC Handelsblad</w:t>
      </w:r>
      <w:r w:rsidRPr="004C751E">
        <w:rPr>
          <w:rFonts w:eastAsiaTheme="minorHAnsi"/>
          <w:noProof/>
          <w:sz w:val="22"/>
          <w:szCs w:val="22"/>
          <w:lang w:val="en-IE" w:eastAsia="en-US"/>
        </w:rPr>
        <w:t xml:space="preserve">), 18 March 2026, </w:t>
      </w:r>
      <w:hyperlink r:id="rId81" w:history="1">
        <w:r w:rsidRPr="004C751E">
          <w:rPr>
            <w:rStyle w:val="Hyperlink"/>
            <w:rFonts w:eastAsiaTheme="minorHAnsi"/>
            <w:noProof/>
            <w:sz w:val="22"/>
            <w:szCs w:val="22"/>
            <w:lang w:val="en-IE" w:eastAsia="en-US"/>
          </w:rPr>
          <w:t>https://www.tweedekamer.nl/kamerstukken/kamervragen/detail?id=2026Z05355&amp;did=2026D12297</w:t>
        </w:r>
      </w:hyperlink>
      <w:r w:rsidRPr="004C751E">
        <w:rPr>
          <w:rFonts w:eastAsiaTheme="minorHAnsi"/>
          <w:noProof/>
          <w:sz w:val="22"/>
          <w:szCs w:val="22"/>
          <w:lang w:val="en-IE" w:eastAsia="en-US"/>
        </w:rPr>
        <w:t xml:space="preserve">. </w:t>
      </w:r>
    </w:p>
    <w:p w14:paraId="223C9E04" w14:textId="77777777" w:rsidR="0079415B" w:rsidRPr="004C751E" w:rsidRDefault="0079415B" w:rsidP="00D76AF1">
      <w:pPr>
        <w:spacing w:after="120"/>
        <w:rPr>
          <w:rFonts w:eastAsiaTheme="minorHAnsi"/>
          <w:noProof/>
          <w:sz w:val="22"/>
          <w:szCs w:val="22"/>
          <w:lang w:val="en-IE" w:eastAsia="en-US"/>
        </w:rPr>
      </w:pPr>
      <w:r w:rsidRPr="004C751E">
        <w:rPr>
          <w:rFonts w:eastAsiaTheme="minorHAnsi"/>
          <w:noProof/>
          <w:sz w:val="22"/>
          <w:szCs w:val="22"/>
          <w:lang w:val="en-IE" w:eastAsia="en-US"/>
        </w:rPr>
        <w:t>Tweede Kamer (2026b), Evaluation and follow-up of the 70+ scheme for deputy judges (</w:t>
      </w:r>
      <w:r w:rsidRPr="00903B26">
        <w:rPr>
          <w:rFonts w:eastAsiaTheme="minorHAnsi"/>
          <w:i/>
          <w:noProof/>
          <w:sz w:val="22"/>
          <w:szCs w:val="22"/>
          <w:lang w:val="en-IE" w:eastAsia="en-US"/>
        </w:rPr>
        <w:t>Evaluatie en vervolg 70+ regeling rechters-plaatsvervangers</w:t>
      </w:r>
      <w:r w:rsidRPr="004C751E">
        <w:rPr>
          <w:rFonts w:eastAsiaTheme="minorHAnsi"/>
          <w:i/>
          <w:noProof/>
          <w:sz w:val="22"/>
          <w:szCs w:val="22"/>
          <w:lang w:val="en-IE" w:eastAsia="en-US"/>
        </w:rPr>
        <w:t>)</w:t>
      </w:r>
      <w:r w:rsidRPr="004C751E">
        <w:rPr>
          <w:rFonts w:eastAsiaTheme="minorHAnsi"/>
          <w:noProof/>
          <w:sz w:val="22"/>
          <w:szCs w:val="22"/>
          <w:lang w:val="en-IE" w:eastAsia="en-US"/>
        </w:rPr>
        <w:t xml:space="preserve">, 31 March 2026 (29279-1016) </w:t>
      </w:r>
      <w:hyperlink r:id="rId82">
        <w:r w:rsidRPr="004C751E">
          <w:rPr>
            <w:rFonts w:eastAsiaTheme="minorHAnsi"/>
            <w:noProof/>
            <w:color w:val="0563C1" w:themeColor="hyperlink"/>
            <w:sz w:val="22"/>
            <w:szCs w:val="22"/>
            <w:u w:val="single"/>
            <w:lang w:val="en-IE" w:eastAsia="en-US"/>
          </w:rPr>
          <w:t>https://www.tweedekamer.nl/kamerstukken/brieven_regering/detail?id=2026Z06645&amp;did=2026D15041</w:t>
        </w:r>
      </w:hyperlink>
      <w:r w:rsidRPr="004C751E">
        <w:rPr>
          <w:rFonts w:eastAsiaTheme="minorHAnsi"/>
          <w:noProof/>
          <w:sz w:val="22"/>
          <w:szCs w:val="22"/>
          <w:lang w:val="en-IE" w:eastAsia="en-US"/>
        </w:rPr>
        <w:t xml:space="preserve">. </w:t>
      </w:r>
    </w:p>
    <w:p w14:paraId="0A86B9C0" w14:textId="77777777" w:rsidR="0079415B" w:rsidRPr="004C751E" w:rsidRDefault="0079415B" w:rsidP="00D76AF1">
      <w:pPr>
        <w:spacing w:after="120"/>
        <w:rPr>
          <w:rFonts w:eastAsiaTheme="minorHAnsi"/>
          <w:noProof/>
          <w:sz w:val="22"/>
          <w:szCs w:val="22"/>
          <w:lang w:val="en-IE" w:eastAsia="en-US"/>
        </w:rPr>
      </w:pPr>
      <w:r w:rsidRPr="004C751E">
        <w:rPr>
          <w:rFonts w:eastAsiaTheme="minorHAnsi"/>
          <w:noProof/>
          <w:sz w:val="22"/>
          <w:szCs w:val="22"/>
          <w:lang w:val="en-IE" w:eastAsia="en-US"/>
        </w:rPr>
        <w:t xml:space="preserve">Tweede Kamer (2026c), Law on Political Parties, 12 May 2026, </w:t>
      </w:r>
      <w:hyperlink r:id="rId83" w:history="1">
        <w:r w:rsidRPr="004C751E">
          <w:rPr>
            <w:rStyle w:val="Hyperlink"/>
            <w:rFonts w:eastAsiaTheme="minorHAnsi"/>
            <w:noProof/>
            <w:sz w:val="22"/>
            <w:szCs w:val="22"/>
            <w:lang w:val="en-IE" w:eastAsia="en-US"/>
          </w:rPr>
          <w:t>https://www.tweedekamer.nl/kamerstukken/wetsvoorstellen/detail?qry=wetsvoorstel%3A36742&amp;cfg=wetsvoorsteldet</w:t>
        </w:r>
      </w:hyperlink>
      <w:r w:rsidRPr="004C751E">
        <w:rPr>
          <w:rFonts w:eastAsiaTheme="minorHAnsi"/>
          <w:noProof/>
          <w:sz w:val="22"/>
          <w:szCs w:val="22"/>
          <w:lang w:val="en-IE" w:eastAsia="en-US"/>
        </w:rPr>
        <w:t>.</w:t>
      </w:r>
    </w:p>
    <w:p w14:paraId="6D90BA5D" w14:textId="77777777" w:rsidR="0079415B" w:rsidRPr="004C751E" w:rsidRDefault="0079415B" w:rsidP="00D76AF1">
      <w:pPr>
        <w:spacing w:after="120"/>
        <w:rPr>
          <w:rFonts w:eastAsiaTheme="minorHAnsi"/>
          <w:noProof/>
          <w:sz w:val="22"/>
          <w:szCs w:val="22"/>
          <w:lang w:val="en-IE" w:eastAsia="en-US"/>
        </w:rPr>
      </w:pPr>
      <w:r w:rsidRPr="004C751E">
        <w:rPr>
          <w:rFonts w:eastAsiaTheme="minorHAnsi"/>
          <w:noProof/>
          <w:sz w:val="22"/>
          <w:szCs w:val="22"/>
          <w:lang w:val="en-IE" w:eastAsia="en-US"/>
        </w:rPr>
        <w:t>Tweede Kamer (2026d), Letter from the Government, State of play strengthening local public broadcasters and evaluation of funding of local public broadcasters 2022-2024 (</w:t>
      </w:r>
      <w:r w:rsidRPr="00903B26">
        <w:rPr>
          <w:rFonts w:eastAsiaTheme="minorHAnsi"/>
          <w:i/>
          <w:noProof/>
          <w:sz w:val="22"/>
          <w:szCs w:val="22"/>
          <w:lang w:val="en-IE" w:eastAsia="en-US"/>
        </w:rPr>
        <w:t>Brief regering: Stand van zaken versterking lokale publieke omroepen en evaluatie bekostiging lokale publieke omroepen 2022-2024</w:t>
      </w:r>
      <w:r w:rsidRPr="004C751E">
        <w:rPr>
          <w:rFonts w:eastAsiaTheme="minorHAnsi"/>
          <w:noProof/>
          <w:sz w:val="22"/>
          <w:szCs w:val="22"/>
          <w:lang w:val="en-IE" w:eastAsia="en-US"/>
        </w:rPr>
        <w:t xml:space="preserve">), 27 May 2026, </w:t>
      </w:r>
      <w:hyperlink r:id="rId84" w:history="1">
        <w:r w:rsidRPr="004C751E">
          <w:rPr>
            <w:rFonts w:eastAsiaTheme="minorHAnsi"/>
            <w:noProof/>
            <w:color w:val="0563C1" w:themeColor="hyperlink"/>
            <w:sz w:val="22"/>
            <w:szCs w:val="22"/>
            <w:u w:val="single"/>
            <w:lang w:val="en-IE" w:eastAsia="en-US"/>
          </w:rPr>
          <w:t>https://www.tweedekamer.nl/kamerstukken/brieven_regering/detail?id=2026Z10999&amp;did=2026D24954</w:t>
        </w:r>
      </w:hyperlink>
      <w:r w:rsidRPr="004C751E">
        <w:rPr>
          <w:rFonts w:eastAsiaTheme="minorHAnsi"/>
          <w:noProof/>
          <w:sz w:val="22"/>
          <w:szCs w:val="22"/>
          <w:lang w:val="en-IE" w:eastAsia="en-US"/>
        </w:rPr>
        <w:t xml:space="preserve">. </w:t>
      </w:r>
    </w:p>
    <w:p w14:paraId="644A63CA" w14:textId="77777777" w:rsidR="0079415B" w:rsidRPr="004C751E" w:rsidRDefault="0079415B" w:rsidP="00D76AF1">
      <w:pPr>
        <w:spacing w:after="120"/>
        <w:rPr>
          <w:rFonts w:eastAsiaTheme="minorHAnsi"/>
          <w:noProof/>
          <w:sz w:val="22"/>
          <w:szCs w:val="22"/>
          <w:lang w:val="en-IE" w:eastAsia="en-US"/>
        </w:rPr>
      </w:pPr>
      <w:r w:rsidRPr="004C751E">
        <w:rPr>
          <w:rFonts w:eastAsiaTheme="minorHAnsi"/>
          <w:noProof/>
          <w:sz w:val="22"/>
          <w:szCs w:val="22"/>
          <w:lang w:val="en-IE" w:eastAsia="en-US"/>
        </w:rPr>
        <w:t>Tweede Kamer (2026e), Letter from the Government, Government's commitment to the right to demonstrate (</w:t>
      </w:r>
      <w:r w:rsidRPr="00903B26">
        <w:rPr>
          <w:rFonts w:eastAsiaTheme="minorHAnsi"/>
          <w:i/>
          <w:iCs/>
          <w:noProof/>
          <w:sz w:val="22"/>
          <w:szCs w:val="22"/>
          <w:lang w:val="en-IE" w:eastAsia="en-US"/>
        </w:rPr>
        <w:t>Inzet kabinet op terrein demonstratierecht</w:t>
      </w:r>
      <w:r w:rsidRPr="004C751E">
        <w:rPr>
          <w:rFonts w:eastAsiaTheme="minorHAnsi"/>
          <w:noProof/>
          <w:sz w:val="22"/>
          <w:szCs w:val="22"/>
          <w:lang w:val="en-IE" w:eastAsia="en-US"/>
        </w:rPr>
        <w:t xml:space="preserve">), 3 June 2026, </w:t>
      </w:r>
      <w:hyperlink r:id="rId85" w:history="1">
        <w:r w:rsidRPr="004C751E">
          <w:rPr>
            <w:rFonts w:eastAsiaTheme="minorHAnsi"/>
            <w:noProof/>
            <w:color w:val="0563C1" w:themeColor="hyperlink"/>
            <w:sz w:val="22"/>
            <w:szCs w:val="22"/>
            <w:u w:val="single"/>
            <w:lang w:val="en-IE" w:eastAsia="en-US"/>
          </w:rPr>
          <w:t>https://www.tweedekamer.nl/kamerstukken/brieven_regering/detail?id=2026Z11752&amp;did=2026D26790</w:t>
        </w:r>
      </w:hyperlink>
      <w:r w:rsidRPr="004C751E">
        <w:rPr>
          <w:rFonts w:eastAsiaTheme="minorHAnsi"/>
          <w:noProof/>
          <w:sz w:val="22"/>
          <w:szCs w:val="22"/>
          <w:lang w:val="en-IE" w:eastAsia="en-US"/>
        </w:rPr>
        <w:t xml:space="preserve">. </w:t>
      </w:r>
    </w:p>
    <w:p w14:paraId="14E32CB4" w14:textId="002DAD58" w:rsidR="0079415B" w:rsidRPr="004C751E" w:rsidRDefault="0079415B" w:rsidP="00D76AF1">
      <w:pPr>
        <w:spacing w:after="120"/>
        <w:rPr>
          <w:rFonts w:eastAsiaTheme="minorHAnsi"/>
          <w:noProof/>
          <w:sz w:val="22"/>
          <w:szCs w:val="22"/>
          <w:lang w:val="en-IE" w:eastAsia="en-US"/>
        </w:rPr>
      </w:pPr>
      <w:r w:rsidRPr="004C751E">
        <w:rPr>
          <w:rFonts w:eastAsiaTheme="minorHAnsi"/>
          <w:noProof/>
          <w:sz w:val="22"/>
          <w:szCs w:val="22"/>
          <w:lang w:val="en-IE" w:eastAsia="en-US"/>
        </w:rPr>
        <w:t>Tweede Kamer (2026f), Temporary Committee on Fundamental Rights and Constitutional Review (</w:t>
      </w:r>
      <w:r w:rsidRPr="00903B26">
        <w:rPr>
          <w:rFonts w:eastAsiaTheme="minorHAnsi"/>
          <w:i/>
          <w:noProof/>
          <w:sz w:val="22"/>
          <w:szCs w:val="22"/>
          <w:lang w:val="en-IE" w:eastAsia="en-US"/>
        </w:rPr>
        <w:t>Tijdelijke commissie Grondrechten en Constitutionele toetsing</w:t>
      </w:r>
      <w:r w:rsidRPr="004C751E">
        <w:rPr>
          <w:rFonts w:eastAsiaTheme="minorHAnsi"/>
          <w:noProof/>
          <w:sz w:val="22"/>
          <w:szCs w:val="22"/>
          <w:lang w:val="en-IE" w:eastAsia="en-US"/>
        </w:rPr>
        <w:t xml:space="preserve">), </w:t>
      </w:r>
      <w:hyperlink r:id="rId86">
        <w:r w:rsidRPr="004C751E">
          <w:rPr>
            <w:rFonts w:eastAsiaTheme="minorHAnsi"/>
            <w:noProof/>
            <w:color w:val="0563C1" w:themeColor="hyperlink"/>
            <w:sz w:val="22"/>
            <w:szCs w:val="22"/>
            <w:u w:val="single"/>
            <w:lang w:val="en-IE" w:eastAsia="en-US"/>
          </w:rPr>
          <w:t>https://www.tweedekamer.nl/kamerleden_en_commissies/commissies/tcgct</w:t>
        </w:r>
      </w:hyperlink>
      <w:r w:rsidRPr="004C751E">
        <w:rPr>
          <w:rFonts w:eastAsiaTheme="minorHAnsi"/>
          <w:noProof/>
          <w:sz w:val="22"/>
          <w:szCs w:val="22"/>
          <w:lang w:val="en-IE" w:eastAsia="en-US"/>
        </w:rPr>
        <w:t xml:space="preserve">. </w:t>
      </w:r>
    </w:p>
    <w:p w14:paraId="38335C4E" w14:textId="28F1EF3F" w:rsidR="00EF4384" w:rsidRPr="004C751E" w:rsidRDefault="00EF4384" w:rsidP="00D76AF1">
      <w:pPr>
        <w:spacing w:after="120"/>
        <w:rPr>
          <w:rFonts w:eastAsiaTheme="minorHAnsi"/>
          <w:noProof/>
          <w:sz w:val="22"/>
          <w:szCs w:val="22"/>
          <w:lang w:val="en-IE" w:eastAsia="en-US"/>
        </w:rPr>
      </w:pPr>
      <w:r w:rsidRPr="004C751E">
        <w:rPr>
          <w:rFonts w:eastAsiaTheme="minorHAnsi"/>
          <w:noProof/>
          <w:sz w:val="22"/>
          <w:szCs w:val="22"/>
          <w:lang w:val="en-IE" w:eastAsia="en-US"/>
        </w:rPr>
        <w:t>Tweede Kamer (2025), Letter from the government, Price Agreements Council for the Judiciary 2026-2028 (</w:t>
      </w:r>
      <w:r w:rsidRPr="00903B26">
        <w:rPr>
          <w:rFonts w:eastAsiaTheme="minorHAnsi"/>
          <w:i/>
          <w:iCs/>
          <w:noProof/>
          <w:sz w:val="22"/>
          <w:szCs w:val="22"/>
          <w:lang w:val="en-IE" w:eastAsia="en-US"/>
        </w:rPr>
        <w:t>Brief regering, Prijsafspraken Raad voor de rechtspraak 2026-2028</w:t>
      </w:r>
      <w:r w:rsidRPr="004C751E">
        <w:rPr>
          <w:rFonts w:eastAsiaTheme="minorHAnsi"/>
          <w:noProof/>
          <w:sz w:val="22"/>
          <w:szCs w:val="22"/>
          <w:lang w:val="en-IE" w:eastAsia="en-US"/>
        </w:rPr>
        <w:t xml:space="preserve">), 15 September 2025 (36600-VI-162), </w:t>
      </w:r>
      <w:hyperlink r:id="rId87" w:history="1">
        <w:r w:rsidRPr="004C751E">
          <w:rPr>
            <w:rFonts w:eastAsiaTheme="minorHAnsi"/>
            <w:noProof/>
            <w:color w:val="0563C1" w:themeColor="hyperlink"/>
            <w:sz w:val="22"/>
            <w:szCs w:val="22"/>
            <w:u w:val="single"/>
            <w:lang w:val="en-IE" w:eastAsia="en-US"/>
          </w:rPr>
          <w:t>https://www.tweedekamer.nl/kamerstukken/brieven_regering/detail?id=2025Z16894&amp;did=2025D39209</w:t>
        </w:r>
      </w:hyperlink>
      <w:r w:rsidRPr="004C751E">
        <w:rPr>
          <w:rFonts w:eastAsiaTheme="minorHAnsi"/>
          <w:noProof/>
          <w:sz w:val="22"/>
          <w:szCs w:val="22"/>
          <w:lang w:val="en-IE" w:eastAsia="en-US"/>
        </w:rPr>
        <w:t xml:space="preserve">. </w:t>
      </w:r>
    </w:p>
    <w:p w14:paraId="2568DDC0" w14:textId="77777777" w:rsidR="00EF4384" w:rsidRPr="004C751E" w:rsidRDefault="00EF4384" w:rsidP="00D76AF1">
      <w:pPr>
        <w:spacing w:after="120"/>
        <w:rPr>
          <w:rFonts w:eastAsiaTheme="minorHAnsi"/>
          <w:noProof/>
          <w:sz w:val="22"/>
          <w:szCs w:val="22"/>
          <w:lang w:val="en-IE" w:eastAsia="en-US"/>
        </w:rPr>
      </w:pPr>
      <w:r w:rsidRPr="004C751E">
        <w:rPr>
          <w:rFonts w:eastAsiaTheme="minorHAnsi"/>
          <w:noProof/>
          <w:sz w:val="22"/>
          <w:szCs w:val="22"/>
          <w:lang w:val="en-IE" w:eastAsia="en-US"/>
        </w:rPr>
        <w:t>Tweede Kamer (2025a), Overview of votes in the House of Representatives - Initiative proposal Faster Act on the Lapse of Special Powers of Designation of the Public Prosecution Service (</w:t>
      </w:r>
      <w:r w:rsidRPr="00903B26">
        <w:rPr>
          <w:rFonts w:eastAsiaTheme="minorHAnsi"/>
          <w:i/>
          <w:iCs/>
          <w:noProof/>
          <w:sz w:val="22"/>
          <w:szCs w:val="22"/>
          <w:lang w:val="en-IE" w:eastAsia="en-US"/>
        </w:rPr>
        <w:t>Overzicht van stemmingen in de Tweede Kamer - Initiatiefvoorstel-Sneller Wet verval bijzondere aanwijzingsbevoegdheid openbaar ministerie</w:t>
      </w:r>
      <w:r w:rsidRPr="004C751E">
        <w:rPr>
          <w:rFonts w:eastAsiaTheme="minorHAnsi"/>
          <w:noProof/>
          <w:sz w:val="22"/>
          <w:szCs w:val="22"/>
          <w:lang w:val="en-IE" w:eastAsia="en-US"/>
        </w:rPr>
        <w:t xml:space="preserve">), 25 November 2025 (36.125), </w:t>
      </w:r>
      <w:hyperlink r:id="rId88" w:history="1">
        <w:r w:rsidRPr="004C751E">
          <w:rPr>
            <w:rFonts w:eastAsiaTheme="minorHAnsi"/>
            <w:noProof/>
            <w:color w:val="0563C1" w:themeColor="hyperlink"/>
            <w:sz w:val="22"/>
            <w:szCs w:val="22"/>
            <w:u w:val="single"/>
            <w:lang w:val="en-IE" w:eastAsia="en-US"/>
          </w:rPr>
          <w:t>https://www.eerstekamer.nl/9370000/1/j9vvkfvj6b325az/vmssro220add/f=y.pdf</w:t>
        </w:r>
      </w:hyperlink>
      <w:r w:rsidRPr="004C751E">
        <w:rPr>
          <w:rFonts w:eastAsiaTheme="minorHAnsi"/>
          <w:noProof/>
          <w:sz w:val="22"/>
          <w:szCs w:val="22"/>
          <w:lang w:val="en-IE" w:eastAsia="en-US"/>
        </w:rPr>
        <w:t xml:space="preserve">. </w:t>
      </w:r>
    </w:p>
    <w:p w14:paraId="40B1A24B" w14:textId="77777777" w:rsidR="0079415B" w:rsidRPr="004C751E" w:rsidRDefault="0079415B" w:rsidP="00D76AF1">
      <w:pPr>
        <w:spacing w:after="120"/>
        <w:rPr>
          <w:rFonts w:eastAsiaTheme="minorHAnsi"/>
          <w:noProof/>
          <w:sz w:val="22"/>
          <w:szCs w:val="22"/>
          <w:lang w:val="en-IE" w:eastAsia="en-US"/>
        </w:rPr>
      </w:pPr>
      <w:r w:rsidRPr="004C751E">
        <w:rPr>
          <w:rFonts w:eastAsiaTheme="minorHAnsi"/>
          <w:noProof/>
          <w:sz w:val="22"/>
          <w:szCs w:val="22"/>
          <w:lang w:val="en-IE" w:eastAsia="en-US"/>
        </w:rPr>
        <w:t xml:space="preserve">Venice Commission (2023), Joint opinion of the Venice Commission and Directorate General of Human Rights and Rule or Law (DGI) of the Council of Europe on the legal safeguards of the independence of the judiciary from the executive power, 11 October 2023 (CDL-AD(2023)029), </w:t>
      </w:r>
      <w:hyperlink r:id="rId89" w:history="1">
        <w:r w:rsidRPr="004C751E">
          <w:rPr>
            <w:rFonts w:eastAsiaTheme="minorHAnsi"/>
            <w:noProof/>
            <w:color w:val="0563C1" w:themeColor="hyperlink"/>
            <w:sz w:val="22"/>
            <w:szCs w:val="22"/>
            <w:u w:val="single"/>
            <w:lang w:val="en-IE" w:eastAsia="en-US"/>
          </w:rPr>
          <w:t>https://www.coe.int/en/web/venice-commission/-/cdl-ad-2023-029-e</w:t>
        </w:r>
      </w:hyperlink>
      <w:r w:rsidRPr="004C751E">
        <w:rPr>
          <w:rFonts w:eastAsiaTheme="minorHAnsi"/>
          <w:noProof/>
          <w:sz w:val="22"/>
          <w:szCs w:val="22"/>
          <w:lang w:val="en-IE" w:eastAsia="en-US"/>
        </w:rPr>
        <w:t xml:space="preserve">. </w:t>
      </w:r>
    </w:p>
    <w:p w14:paraId="65BD3AEF" w14:textId="418C4C27" w:rsidR="00DE12B0" w:rsidRPr="004C751E" w:rsidRDefault="00DE12B0" w:rsidP="00D76AF1">
      <w:pPr>
        <w:spacing w:after="120"/>
        <w:rPr>
          <w:rFonts w:eastAsia="Calibri"/>
          <w:noProof/>
          <w:sz w:val="22"/>
          <w:szCs w:val="22"/>
          <w:lang w:val="en-IE" w:eastAsia="en-US"/>
        </w:rPr>
      </w:pPr>
      <w:r w:rsidRPr="004C751E">
        <w:rPr>
          <w:rFonts w:eastAsia="Calibri"/>
          <w:noProof/>
          <w:sz w:val="22"/>
          <w:szCs w:val="22"/>
          <w:lang w:val="en-IE" w:eastAsia="en-US"/>
        </w:rPr>
        <w:t xml:space="preserve">Venice Commission (2013), Opinion on the legislation on </w:t>
      </w:r>
      <w:r w:rsidR="00B01C34" w:rsidRPr="004C751E">
        <w:rPr>
          <w:rFonts w:eastAsia="Calibri"/>
          <w:noProof/>
          <w:sz w:val="22"/>
          <w:szCs w:val="22"/>
          <w:lang w:val="en-IE" w:eastAsia="en-US"/>
        </w:rPr>
        <w:t>defamation</w:t>
      </w:r>
      <w:r w:rsidRPr="004C751E">
        <w:rPr>
          <w:rFonts w:eastAsia="Calibri"/>
          <w:noProof/>
          <w:sz w:val="22"/>
          <w:szCs w:val="22"/>
          <w:lang w:val="en-IE" w:eastAsia="en-US"/>
        </w:rPr>
        <w:t xml:space="preserve"> of Italy, 9 December 2013, </w:t>
      </w:r>
      <w:r w:rsidRPr="004C751E">
        <w:rPr>
          <w:noProof/>
          <w:sz w:val="22"/>
          <w:szCs w:val="22"/>
          <w:lang w:val="en-IE" w:eastAsia="fr-FR"/>
        </w:rPr>
        <w:t xml:space="preserve">CDL-AD(2013)038, </w:t>
      </w:r>
      <w:hyperlink r:id="rId90" w:history="1">
        <w:r w:rsidRPr="004C751E">
          <w:rPr>
            <w:rStyle w:val="Hyperlink"/>
            <w:noProof/>
            <w:sz w:val="22"/>
            <w:szCs w:val="22"/>
            <w:lang w:val="en-IE" w:eastAsia="fr-FR"/>
          </w:rPr>
          <w:t>https://www.venice.coe.int/webforms/documents/default.aspx?pdffile=CDL-AD(2013)038-e</w:t>
        </w:r>
      </w:hyperlink>
      <w:r w:rsidRPr="004C751E">
        <w:rPr>
          <w:noProof/>
          <w:sz w:val="22"/>
          <w:szCs w:val="22"/>
          <w:lang w:val="en-IE" w:eastAsia="fr-FR"/>
        </w:rPr>
        <w:t xml:space="preserve">. </w:t>
      </w:r>
    </w:p>
    <w:p w14:paraId="07723E54" w14:textId="77777777" w:rsidR="00165CC4" w:rsidRPr="00165CC4" w:rsidRDefault="00165CC4" w:rsidP="00165CC4">
      <w:pPr>
        <w:pageBreakBefore/>
        <w:spacing w:after="120" w:line="264" w:lineRule="auto"/>
        <w:rPr>
          <w:b/>
          <w:noProof/>
          <w:lang w:val="en-IE" w:eastAsia="en-GB"/>
        </w:rPr>
      </w:pPr>
      <w:r w:rsidRPr="00165CC4">
        <w:rPr>
          <w:b/>
          <w:noProof/>
          <w:lang w:val="en-IE" w:eastAsia="en-GB"/>
        </w:rPr>
        <w:t>Annex II: Country visit to Netherlands</w:t>
      </w:r>
    </w:p>
    <w:p w14:paraId="44CDDC6E" w14:textId="77777777" w:rsidR="00165CC4" w:rsidRPr="00165CC4" w:rsidRDefault="00165CC4" w:rsidP="00165CC4">
      <w:pPr>
        <w:spacing w:after="120" w:line="264" w:lineRule="auto"/>
        <w:rPr>
          <w:noProof/>
          <w:shd w:val="clear" w:color="auto" w:fill="FFFFFF"/>
          <w:lang w:val="en-IE" w:eastAsia="en-GB"/>
        </w:rPr>
      </w:pPr>
      <w:r w:rsidRPr="00165CC4">
        <w:rPr>
          <w:noProof/>
          <w:lang w:val="en-IE" w:eastAsia="en-GB"/>
        </w:rPr>
        <w:t>The Commission services held in-person meetings in March 2026 with:</w:t>
      </w:r>
    </w:p>
    <w:p w14:paraId="288E3F7B" w14:textId="77777777" w:rsidR="00165CC4" w:rsidRPr="00165CC4" w:rsidRDefault="00165CC4" w:rsidP="00165CC4">
      <w:pPr>
        <w:numPr>
          <w:ilvl w:val="0"/>
          <w:numId w:val="21"/>
        </w:numPr>
        <w:spacing w:after="0" w:line="256" w:lineRule="auto"/>
        <w:contextualSpacing/>
        <w:rPr>
          <w:rFonts w:eastAsiaTheme="minorHAnsi"/>
          <w:noProof/>
          <w:szCs w:val="24"/>
          <w:bdr w:val="none" w:sz="0" w:space="0" w:color="auto" w:frame="1"/>
          <w:lang w:val="en-IE" w:eastAsia="en-US"/>
        </w:rPr>
      </w:pPr>
      <w:r w:rsidRPr="00165CC4">
        <w:rPr>
          <w:rFonts w:eastAsiaTheme="minorHAnsi"/>
          <w:noProof/>
          <w:szCs w:val="24"/>
          <w:bdr w:val="none" w:sz="0" w:space="0" w:color="auto" w:frame="1"/>
          <w:lang w:val="en-IE" w:eastAsia="en-US"/>
        </w:rPr>
        <w:t>Algemene Rekenkamer</w:t>
      </w:r>
    </w:p>
    <w:p w14:paraId="74260B27" w14:textId="77777777" w:rsidR="00165CC4" w:rsidRPr="00AC0D05" w:rsidRDefault="00165CC4" w:rsidP="00165CC4">
      <w:pPr>
        <w:numPr>
          <w:ilvl w:val="0"/>
          <w:numId w:val="21"/>
        </w:numPr>
        <w:spacing w:after="0" w:line="256" w:lineRule="auto"/>
        <w:contextualSpacing/>
        <w:rPr>
          <w:rFonts w:eastAsiaTheme="minorHAnsi"/>
          <w:noProof/>
          <w:szCs w:val="24"/>
          <w:bdr w:val="none" w:sz="0" w:space="0" w:color="auto" w:frame="1"/>
          <w:lang w:val="nl-NL" w:eastAsia="en-US"/>
        </w:rPr>
      </w:pPr>
      <w:r w:rsidRPr="00AC0D05">
        <w:rPr>
          <w:rFonts w:eastAsiaTheme="minorHAnsi"/>
          <w:noProof/>
          <w:szCs w:val="24"/>
          <w:bdr w:val="none" w:sz="0" w:space="0" w:color="auto" w:frame="1"/>
          <w:lang w:val="nl-NL" w:eastAsia="en-US"/>
        </w:rPr>
        <w:t>College voor de Rechten van de Mens</w:t>
      </w:r>
    </w:p>
    <w:p w14:paraId="7286BD38" w14:textId="77777777" w:rsidR="00165CC4" w:rsidRPr="00165CC4" w:rsidRDefault="00165CC4" w:rsidP="00165CC4">
      <w:pPr>
        <w:numPr>
          <w:ilvl w:val="0"/>
          <w:numId w:val="21"/>
        </w:numPr>
        <w:spacing w:after="0" w:line="256" w:lineRule="auto"/>
        <w:contextualSpacing/>
        <w:rPr>
          <w:rFonts w:eastAsiaTheme="minorHAnsi"/>
          <w:noProof/>
          <w:szCs w:val="24"/>
          <w:bdr w:val="none" w:sz="0" w:space="0" w:color="auto" w:frame="1"/>
          <w:lang w:val="en-IE" w:eastAsia="en-US"/>
        </w:rPr>
      </w:pPr>
      <w:r w:rsidRPr="00165CC4">
        <w:rPr>
          <w:rFonts w:eastAsiaTheme="minorHAnsi"/>
          <w:noProof/>
          <w:szCs w:val="24"/>
          <w:bdr w:val="none" w:sz="0" w:space="0" w:color="auto" w:frame="1"/>
          <w:lang w:val="en-IE" w:eastAsia="en-US"/>
        </w:rPr>
        <w:t>Commissariaat voor de Media</w:t>
      </w:r>
    </w:p>
    <w:p w14:paraId="3615F678" w14:textId="77777777" w:rsidR="00165CC4" w:rsidRPr="00AC0D05" w:rsidRDefault="00165CC4" w:rsidP="00165CC4">
      <w:pPr>
        <w:numPr>
          <w:ilvl w:val="0"/>
          <w:numId w:val="21"/>
        </w:numPr>
        <w:spacing w:after="0" w:line="256" w:lineRule="auto"/>
        <w:contextualSpacing/>
        <w:rPr>
          <w:rFonts w:eastAsiaTheme="minorHAnsi"/>
          <w:noProof/>
          <w:szCs w:val="24"/>
          <w:bdr w:val="none" w:sz="0" w:space="0" w:color="auto" w:frame="1"/>
          <w:lang w:val="nl-NL" w:eastAsia="en-US"/>
        </w:rPr>
      </w:pPr>
      <w:r w:rsidRPr="00AC0D05">
        <w:rPr>
          <w:rFonts w:eastAsiaTheme="minorHAnsi"/>
          <w:noProof/>
          <w:szCs w:val="24"/>
          <w:bdr w:val="none" w:sz="0" w:space="0" w:color="auto" w:frame="1"/>
          <w:lang w:val="nl-NL" w:eastAsia="en-US"/>
        </w:rPr>
        <w:t>Fiscale Inlichtingen en Opsporingsdienst (FIOD)</w:t>
      </w:r>
    </w:p>
    <w:p w14:paraId="039D2D71" w14:textId="77777777" w:rsidR="00165CC4" w:rsidRPr="00165CC4" w:rsidRDefault="00165CC4" w:rsidP="00165CC4">
      <w:pPr>
        <w:numPr>
          <w:ilvl w:val="0"/>
          <w:numId w:val="21"/>
        </w:numPr>
        <w:spacing w:after="0" w:line="256" w:lineRule="auto"/>
        <w:contextualSpacing/>
        <w:rPr>
          <w:rFonts w:eastAsiaTheme="minorHAnsi"/>
          <w:noProof/>
          <w:szCs w:val="24"/>
          <w:bdr w:val="none" w:sz="0" w:space="0" w:color="auto" w:frame="1"/>
          <w:lang w:val="en-IE" w:eastAsia="en-US"/>
        </w:rPr>
      </w:pPr>
      <w:r w:rsidRPr="00165CC4">
        <w:rPr>
          <w:rFonts w:eastAsiaTheme="minorHAnsi"/>
          <w:noProof/>
          <w:szCs w:val="24"/>
          <w:bdr w:val="none" w:sz="0" w:space="0" w:color="auto" w:frame="1"/>
          <w:lang w:val="en-IE" w:eastAsia="en-US"/>
        </w:rPr>
        <w:t>Free Press Unlimited</w:t>
      </w:r>
    </w:p>
    <w:p w14:paraId="3FE50558" w14:textId="2FE5D5A3" w:rsidR="00165CC4" w:rsidRPr="00331627" w:rsidRDefault="00165CC4" w:rsidP="00165CC4">
      <w:pPr>
        <w:numPr>
          <w:ilvl w:val="0"/>
          <w:numId w:val="21"/>
        </w:numPr>
        <w:spacing w:after="0" w:line="256" w:lineRule="auto"/>
        <w:contextualSpacing/>
        <w:rPr>
          <w:rFonts w:eastAsiaTheme="minorHAnsi"/>
          <w:noProof/>
          <w:szCs w:val="24"/>
          <w:bdr w:val="none" w:sz="0" w:space="0" w:color="auto" w:frame="1"/>
          <w:lang w:val="fr-BE" w:eastAsia="en-US"/>
        </w:rPr>
      </w:pPr>
      <w:r w:rsidRPr="00331627">
        <w:rPr>
          <w:rFonts w:eastAsiaTheme="minorHAnsi"/>
          <w:noProof/>
          <w:szCs w:val="24"/>
          <w:bdr w:val="none" w:sz="0" w:space="0" w:color="auto" w:frame="1"/>
          <w:lang w:val="fr-BE" w:eastAsia="en-US"/>
        </w:rPr>
        <w:t>Rijksrecherche</w:t>
      </w:r>
    </w:p>
    <w:p w14:paraId="500ACAC6" w14:textId="77777777" w:rsidR="00165CC4" w:rsidRPr="00165CC4" w:rsidRDefault="00165CC4" w:rsidP="00165CC4">
      <w:pPr>
        <w:numPr>
          <w:ilvl w:val="0"/>
          <w:numId w:val="21"/>
        </w:numPr>
        <w:spacing w:after="0" w:line="256" w:lineRule="auto"/>
        <w:contextualSpacing/>
        <w:rPr>
          <w:rFonts w:eastAsiaTheme="minorHAnsi"/>
          <w:noProof/>
          <w:szCs w:val="24"/>
          <w:bdr w:val="none" w:sz="0" w:space="0" w:color="auto" w:frame="1"/>
          <w:lang w:val="en-IE" w:eastAsia="en-US"/>
        </w:rPr>
      </w:pPr>
      <w:r w:rsidRPr="00165CC4">
        <w:rPr>
          <w:rFonts w:eastAsiaTheme="minorHAnsi"/>
          <w:noProof/>
          <w:szCs w:val="24"/>
          <w:bdr w:val="none" w:sz="0" w:space="0" w:color="auto" w:frame="1"/>
          <w:lang w:val="en-IE" w:eastAsia="en-US"/>
        </w:rPr>
        <w:t>Nationale Ombudsman</w:t>
      </w:r>
    </w:p>
    <w:p w14:paraId="4911E48C" w14:textId="77777777" w:rsidR="00165CC4" w:rsidRPr="00165CC4" w:rsidRDefault="00165CC4" w:rsidP="00165CC4">
      <w:pPr>
        <w:numPr>
          <w:ilvl w:val="0"/>
          <w:numId w:val="21"/>
        </w:numPr>
        <w:spacing w:after="0" w:line="256" w:lineRule="auto"/>
        <w:contextualSpacing/>
        <w:rPr>
          <w:rFonts w:eastAsiaTheme="minorHAnsi"/>
          <w:noProof/>
          <w:szCs w:val="24"/>
          <w:bdr w:val="none" w:sz="0" w:space="0" w:color="auto" w:frame="1"/>
          <w:lang w:val="en-IE" w:eastAsia="en-US"/>
        </w:rPr>
      </w:pPr>
      <w:r w:rsidRPr="00165CC4">
        <w:rPr>
          <w:rFonts w:eastAsiaTheme="minorHAnsi"/>
          <w:noProof/>
          <w:szCs w:val="24"/>
          <w:bdr w:val="none" w:sz="0" w:space="0" w:color="auto" w:frame="1"/>
          <w:lang w:val="en-IE" w:eastAsia="en-US"/>
        </w:rPr>
        <w:t>NDP Nieuwsmedia</w:t>
      </w:r>
    </w:p>
    <w:p w14:paraId="4E79A7CC" w14:textId="77777777" w:rsidR="00165CC4" w:rsidRPr="00165CC4" w:rsidRDefault="00165CC4" w:rsidP="00165CC4">
      <w:pPr>
        <w:numPr>
          <w:ilvl w:val="0"/>
          <w:numId w:val="21"/>
        </w:numPr>
        <w:spacing w:after="0" w:line="256" w:lineRule="auto"/>
        <w:contextualSpacing/>
        <w:rPr>
          <w:rFonts w:eastAsiaTheme="minorHAnsi"/>
          <w:noProof/>
          <w:szCs w:val="24"/>
          <w:bdr w:val="none" w:sz="0" w:space="0" w:color="auto" w:frame="1"/>
          <w:lang w:val="en-IE" w:eastAsia="en-US"/>
        </w:rPr>
      </w:pPr>
      <w:r w:rsidRPr="00165CC4">
        <w:rPr>
          <w:rFonts w:eastAsiaTheme="minorHAnsi"/>
          <w:noProof/>
          <w:szCs w:val="24"/>
          <w:bdr w:val="none" w:sz="0" w:space="0" w:color="auto" w:frame="1"/>
          <w:lang w:val="en-IE" w:eastAsia="en-US"/>
        </w:rPr>
        <w:t>Nederlands Juristencomité voor de Mensenrechten</w:t>
      </w:r>
    </w:p>
    <w:p w14:paraId="2C272E41" w14:textId="77777777" w:rsidR="00165CC4" w:rsidRPr="00165CC4" w:rsidRDefault="00165CC4" w:rsidP="00165CC4">
      <w:pPr>
        <w:numPr>
          <w:ilvl w:val="0"/>
          <w:numId w:val="21"/>
        </w:numPr>
        <w:spacing w:after="0" w:line="256" w:lineRule="auto"/>
        <w:contextualSpacing/>
        <w:rPr>
          <w:rFonts w:eastAsiaTheme="minorHAnsi"/>
          <w:noProof/>
          <w:szCs w:val="24"/>
          <w:bdr w:val="none" w:sz="0" w:space="0" w:color="auto" w:frame="1"/>
          <w:lang w:val="en-IE" w:eastAsia="en-US"/>
        </w:rPr>
      </w:pPr>
      <w:r w:rsidRPr="00165CC4">
        <w:rPr>
          <w:rFonts w:eastAsiaTheme="minorHAnsi"/>
          <w:noProof/>
          <w:szCs w:val="24"/>
          <w:bdr w:val="none" w:sz="0" w:space="0" w:color="auto" w:frame="1"/>
          <w:lang w:val="en-IE" w:eastAsia="en-US"/>
        </w:rPr>
        <w:t>Nederlandse Orde van Advocaten</w:t>
      </w:r>
    </w:p>
    <w:p w14:paraId="762631BA" w14:textId="77777777" w:rsidR="00165CC4" w:rsidRPr="00165CC4" w:rsidRDefault="00165CC4" w:rsidP="00165CC4">
      <w:pPr>
        <w:numPr>
          <w:ilvl w:val="0"/>
          <w:numId w:val="21"/>
        </w:numPr>
        <w:spacing w:after="0" w:line="256" w:lineRule="auto"/>
        <w:contextualSpacing/>
        <w:rPr>
          <w:rFonts w:eastAsiaTheme="minorHAnsi"/>
          <w:noProof/>
          <w:szCs w:val="24"/>
          <w:bdr w:val="none" w:sz="0" w:space="0" w:color="auto" w:frame="1"/>
          <w:lang w:val="en-IE" w:eastAsia="en-US"/>
        </w:rPr>
      </w:pPr>
      <w:r w:rsidRPr="00165CC4">
        <w:rPr>
          <w:rFonts w:eastAsiaTheme="minorHAnsi"/>
          <w:noProof/>
          <w:szCs w:val="24"/>
          <w:bdr w:val="none" w:sz="0" w:space="0" w:color="auto" w:frame="1"/>
          <w:lang w:val="en-IE" w:eastAsia="en-US"/>
        </w:rPr>
        <w:t>Nederlandse Publieke Omroep (NPO)</w:t>
      </w:r>
    </w:p>
    <w:p w14:paraId="324E9CAA" w14:textId="77777777" w:rsidR="00165CC4" w:rsidRPr="00165CC4" w:rsidRDefault="00165CC4" w:rsidP="00165CC4">
      <w:pPr>
        <w:numPr>
          <w:ilvl w:val="0"/>
          <w:numId w:val="21"/>
        </w:numPr>
        <w:spacing w:after="0" w:line="256" w:lineRule="auto"/>
        <w:contextualSpacing/>
        <w:rPr>
          <w:rFonts w:eastAsiaTheme="minorHAnsi"/>
          <w:noProof/>
          <w:szCs w:val="24"/>
          <w:bdr w:val="none" w:sz="0" w:space="0" w:color="auto" w:frame="1"/>
          <w:lang w:val="en-IE" w:eastAsia="en-US"/>
        </w:rPr>
      </w:pPr>
      <w:r w:rsidRPr="00165CC4">
        <w:rPr>
          <w:rFonts w:eastAsiaTheme="minorHAnsi"/>
          <w:noProof/>
          <w:szCs w:val="24"/>
          <w:bdr w:val="none" w:sz="0" w:space="0" w:color="auto" w:frame="1"/>
          <w:lang w:val="en-IE" w:eastAsia="en-US"/>
        </w:rPr>
        <w:t>Nederlandse Vereniging van Journalisten</w:t>
      </w:r>
    </w:p>
    <w:p w14:paraId="0CDCF569" w14:textId="77777777" w:rsidR="00165CC4" w:rsidRPr="00165CC4" w:rsidRDefault="00165CC4" w:rsidP="00165CC4">
      <w:pPr>
        <w:numPr>
          <w:ilvl w:val="0"/>
          <w:numId w:val="21"/>
        </w:numPr>
        <w:spacing w:after="0" w:line="256" w:lineRule="auto"/>
        <w:contextualSpacing/>
        <w:rPr>
          <w:rFonts w:eastAsiaTheme="minorHAnsi"/>
          <w:noProof/>
          <w:szCs w:val="24"/>
          <w:bdr w:val="none" w:sz="0" w:space="0" w:color="auto" w:frame="1"/>
          <w:lang w:val="en-IE" w:eastAsia="en-US"/>
        </w:rPr>
      </w:pPr>
      <w:r w:rsidRPr="00165CC4">
        <w:rPr>
          <w:rFonts w:eastAsiaTheme="minorHAnsi"/>
          <w:noProof/>
          <w:szCs w:val="24"/>
          <w:bdr w:val="none" w:sz="0" w:space="0" w:color="auto" w:frame="1"/>
          <w:lang w:val="en-IE" w:eastAsia="en-US"/>
        </w:rPr>
        <w:t>Nederlandse Vereniging voor Rechtsspraak</w:t>
      </w:r>
    </w:p>
    <w:p w14:paraId="13BF73D8" w14:textId="77777777" w:rsidR="00165CC4" w:rsidRPr="00165CC4" w:rsidRDefault="00165CC4" w:rsidP="00165CC4">
      <w:pPr>
        <w:numPr>
          <w:ilvl w:val="0"/>
          <w:numId w:val="21"/>
        </w:numPr>
        <w:spacing w:after="0" w:line="256" w:lineRule="auto"/>
        <w:contextualSpacing/>
        <w:rPr>
          <w:rFonts w:eastAsiaTheme="minorHAnsi"/>
          <w:noProof/>
          <w:szCs w:val="24"/>
          <w:bdr w:val="none" w:sz="0" w:space="0" w:color="auto" w:frame="1"/>
          <w:lang w:val="en-IE" w:eastAsia="en-US"/>
        </w:rPr>
      </w:pPr>
      <w:r w:rsidRPr="00165CC4">
        <w:rPr>
          <w:rFonts w:eastAsiaTheme="minorHAnsi"/>
          <w:noProof/>
          <w:szCs w:val="24"/>
          <w:bdr w:val="none" w:sz="0" w:space="0" w:color="auto" w:frame="1"/>
          <w:lang w:val="en-IE" w:eastAsia="en-US"/>
        </w:rPr>
        <w:t>Netherlands Helsinki Committee</w:t>
      </w:r>
    </w:p>
    <w:p w14:paraId="32CBEFE0" w14:textId="77777777" w:rsidR="00165CC4" w:rsidRPr="00165CC4" w:rsidRDefault="00165CC4" w:rsidP="00165CC4">
      <w:pPr>
        <w:numPr>
          <w:ilvl w:val="0"/>
          <w:numId w:val="21"/>
        </w:numPr>
        <w:spacing w:after="0" w:line="256" w:lineRule="auto"/>
        <w:contextualSpacing/>
        <w:rPr>
          <w:rFonts w:eastAsiaTheme="minorHAnsi"/>
          <w:noProof/>
          <w:szCs w:val="24"/>
          <w:bdr w:val="none" w:sz="0" w:space="0" w:color="auto" w:frame="1"/>
          <w:lang w:val="en-IE" w:eastAsia="en-US"/>
        </w:rPr>
      </w:pPr>
      <w:r w:rsidRPr="00165CC4">
        <w:rPr>
          <w:rFonts w:eastAsiaTheme="minorHAnsi"/>
          <w:noProof/>
          <w:szCs w:val="24"/>
          <w:bdr w:val="none" w:sz="0" w:space="0" w:color="auto" w:frame="1"/>
          <w:lang w:val="en-IE" w:eastAsia="en-US"/>
        </w:rPr>
        <w:t>Openbaar Ministerie</w:t>
      </w:r>
    </w:p>
    <w:p w14:paraId="54BE2603" w14:textId="77777777" w:rsidR="00165CC4" w:rsidRPr="00165CC4" w:rsidRDefault="00165CC4" w:rsidP="00165CC4">
      <w:pPr>
        <w:numPr>
          <w:ilvl w:val="0"/>
          <w:numId w:val="21"/>
        </w:numPr>
        <w:spacing w:after="0" w:line="256" w:lineRule="auto"/>
        <w:contextualSpacing/>
        <w:rPr>
          <w:rFonts w:eastAsiaTheme="minorHAnsi"/>
          <w:noProof/>
          <w:szCs w:val="24"/>
          <w:bdr w:val="none" w:sz="0" w:space="0" w:color="auto" w:frame="1"/>
          <w:lang w:val="en-IE" w:eastAsia="en-US"/>
        </w:rPr>
      </w:pPr>
      <w:r w:rsidRPr="00165CC4">
        <w:rPr>
          <w:rFonts w:eastAsiaTheme="minorHAnsi"/>
          <w:noProof/>
          <w:szCs w:val="24"/>
          <w:bdr w:val="none" w:sz="0" w:space="0" w:color="auto" w:frame="1"/>
          <w:lang w:val="en-IE" w:eastAsia="en-US"/>
        </w:rPr>
        <w:t>Raad van State</w:t>
      </w:r>
    </w:p>
    <w:p w14:paraId="1DC51F6D" w14:textId="77777777" w:rsidR="00165CC4" w:rsidRPr="00165CC4" w:rsidRDefault="00165CC4" w:rsidP="00165CC4">
      <w:pPr>
        <w:numPr>
          <w:ilvl w:val="0"/>
          <w:numId w:val="21"/>
        </w:numPr>
        <w:spacing w:after="0" w:line="256" w:lineRule="auto"/>
        <w:contextualSpacing/>
        <w:rPr>
          <w:rFonts w:eastAsiaTheme="minorHAnsi"/>
          <w:noProof/>
          <w:szCs w:val="24"/>
          <w:bdr w:val="none" w:sz="0" w:space="0" w:color="auto" w:frame="1"/>
          <w:lang w:val="en-IE" w:eastAsia="en-US"/>
        </w:rPr>
      </w:pPr>
      <w:r w:rsidRPr="00165CC4">
        <w:rPr>
          <w:rFonts w:eastAsiaTheme="minorHAnsi"/>
          <w:noProof/>
          <w:szCs w:val="24"/>
          <w:bdr w:val="none" w:sz="0" w:space="0" w:color="auto" w:frame="1"/>
          <w:lang w:val="en-IE" w:eastAsia="en-US"/>
        </w:rPr>
        <w:t>Raad voor de Rechtspraak</w:t>
      </w:r>
    </w:p>
    <w:p w14:paraId="2E536660" w14:textId="77777777" w:rsidR="00165CC4" w:rsidRPr="00165CC4" w:rsidRDefault="00165CC4" w:rsidP="00165CC4">
      <w:pPr>
        <w:numPr>
          <w:ilvl w:val="0"/>
          <w:numId w:val="21"/>
        </w:numPr>
        <w:spacing w:after="0" w:line="256" w:lineRule="auto"/>
        <w:contextualSpacing/>
        <w:rPr>
          <w:rFonts w:eastAsiaTheme="minorHAnsi"/>
          <w:noProof/>
          <w:szCs w:val="24"/>
          <w:bdr w:val="none" w:sz="0" w:space="0" w:color="auto" w:frame="1"/>
          <w:lang w:val="en-IE" w:eastAsia="en-US"/>
        </w:rPr>
      </w:pPr>
      <w:r w:rsidRPr="00165CC4">
        <w:rPr>
          <w:rFonts w:eastAsiaTheme="minorHAnsi"/>
          <w:noProof/>
          <w:szCs w:val="24"/>
          <w:bdr w:val="none" w:sz="0" w:space="0" w:color="auto" w:frame="1"/>
          <w:lang w:val="en-IE" w:eastAsia="en-US"/>
        </w:rPr>
        <w:t>Hoge Raad</w:t>
      </w:r>
    </w:p>
    <w:p w14:paraId="508B392E" w14:textId="77777777" w:rsidR="00165CC4" w:rsidRPr="00165CC4" w:rsidDel="00F75B8C" w:rsidRDefault="00165CC4" w:rsidP="00165CC4">
      <w:pPr>
        <w:numPr>
          <w:ilvl w:val="0"/>
          <w:numId w:val="21"/>
        </w:numPr>
        <w:spacing w:after="0" w:line="256" w:lineRule="auto"/>
        <w:contextualSpacing/>
        <w:rPr>
          <w:rFonts w:eastAsiaTheme="minorHAnsi"/>
          <w:noProof/>
          <w:szCs w:val="24"/>
          <w:bdr w:val="none" w:sz="0" w:space="0" w:color="auto" w:frame="1"/>
          <w:lang w:val="en-IE" w:eastAsia="en-US"/>
        </w:rPr>
      </w:pPr>
      <w:r w:rsidRPr="00165CC4">
        <w:rPr>
          <w:rFonts w:eastAsiaTheme="minorHAnsi"/>
          <w:noProof/>
          <w:szCs w:val="24"/>
          <w:bdr w:val="none" w:sz="0" w:space="0" w:color="auto" w:frame="1"/>
          <w:lang w:val="en-IE" w:eastAsia="en-US"/>
        </w:rPr>
        <w:t>Transparency International Netherlands</w:t>
      </w:r>
    </w:p>
    <w:p w14:paraId="081D7E6B" w14:textId="77777777" w:rsidR="00165CC4" w:rsidRPr="00165CC4" w:rsidRDefault="00165CC4" w:rsidP="00165CC4">
      <w:pPr>
        <w:numPr>
          <w:ilvl w:val="0"/>
          <w:numId w:val="21"/>
        </w:numPr>
        <w:spacing w:after="0" w:line="256" w:lineRule="auto"/>
        <w:contextualSpacing/>
        <w:rPr>
          <w:rFonts w:eastAsiaTheme="minorHAnsi"/>
          <w:noProof/>
          <w:szCs w:val="24"/>
          <w:bdr w:val="none" w:sz="0" w:space="0" w:color="auto" w:frame="1"/>
          <w:lang w:val="en-IE" w:eastAsia="en-US"/>
        </w:rPr>
      </w:pPr>
      <w:r w:rsidRPr="00165CC4">
        <w:rPr>
          <w:rFonts w:eastAsiaTheme="minorHAnsi"/>
          <w:noProof/>
          <w:szCs w:val="24"/>
          <w:bdr w:val="none" w:sz="0" w:space="0" w:color="auto" w:frame="1"/>
          <w:lang w:val="en-IE" w:eastAsia="en-US"/>
        </w:rPr>
        <w:t>VNO-NCW / MKB Nederland</w:t>
      </w:r>
    </w:p>
    <w:p w14:paraId="6E878724" w14:textId="77777777" w:rsidR="00165CC4" w:rsidRPr="00165CC4" w:rsidRDefault="00165CC4" w:rsidP="00165CC4">
      <w:pPr>
        <w:spacing w:after="0" w:line="256" w:lineRule="auto"/>
        <w:contextualSpacing/>
        <w:rPr>
          <w:rFonts w:eastAsiaTheme="minorHAnsi"/>
          <w:noProof/>
          <w:szCs w:val="24"/>
          <w:bdr w:val="none" w:sz="0" w:space="0" w:color="auto" w:frame="1"/>
          <w:lang w:val="en-IE" w:eastAsia="en-US"/>
        </w:rPr>
      </w:pPr>
    </w:p>
    <w:p w14:paraId="605859BA" w14:textId="77777777" w:rsidR="00165CC4" w:rsidRPr="00165CC4" w:rsidRDefault="00165CC4" w:rsidP="00165CC4">
      <w:pPr>
        <w:spacing w:after="0" w:line="256" w:lineRule="auto"/>
        <w:contextualSpacing/>
        <w:rPr>
          <w:rFonts w:eastAsiaTheme="minorHAnsi"/>
          <w:noProof/>
          <w:szCs w:val="24"/>
          <w:bdr w:val="none" w:sz="0" w:space="0" w:color="auto" w:frame="1"/>
          <w:lang w:val="en-IE" w:eastAsia="en-US"/>
        </w:rPr>
      </w:pPr>
    </w:p>
    <w:p w14:paraId="387712E8" w14:textId="77777777" w:rsidR="00165CC4" w:rsidRPr="00165CC4" w:rsidRDefault="00165CC4" w:rsidP="00165CC4">
      <w:pPr>
        <w:spacing w:after="120" w:line="264" w:lineRule="auto"/>
        <w:rPr>
          <w:noProof/>
          <w:lang w:val="en-IE" w:eastAsia="en-GB"/>
        </w:rPr>
      </w:pPr>
      <w:r w:rsidRPr="00165CC4">
        <w:rPr>
          <w:noProof/>
          <w:lang w:val="en-IE" w:eastAsia="en-GB"/>
        </w:rPr>
        <w:t xml:space="preserve">The Commission also met the following organisations in a number of horizontal meetings: </w:t>
      </w:r>
    </w:p>
    <w:p w14:paraId="4B1D1C0E" w14:textId="77777777" w:rsidR="00165CC4" w:rsidRPr="00165CC4" w:rsidRDefault="00165CC4" w:rsidP="00165CC4">
      <w:pPr>
        <w:numPr>
          <w:ilvl w:val="0"/>
          <w:numId w:val="22"/>
        </w:numPr>
        <w:spacing w:after="0" w:line="264" w:lineRule="auto"/>
        <w:rPr>
          <w:rFonts w:eastAsiaTheme="minorHAnsi"/>
          <w:noProof/>
          <w:szCs w:val="22"/>
          <w:lang w:val="en-IE" w:eastAsia="en-GB"/>
        </w:rPr>
      </w:pPr>
      <w:r w:rsidRPr="00165CC4">
        <w:rPr>
          <w:rFonts w:eastAsiaTheme="minorHAnsi"/>
          <w:noProof/>
          <w:szCs w:val="22"/>
          <w:lang w:val="en-IE" w:eastAsia="en-GB"/>
        </w:rPr>
        <w:t>Civil Liberties Union for Europe</w:t>
      </w:r>
    </w:p>
    <w:p w14:paraId="36CA33C2" w14:textId="77777777" w:rsidR="00165CC4" w:rsidRPr="00165CC4" w:rsidRDefault="00165CC4" w:rsidP="00165CC4">
      <w:pPr>
        <w:numPr>
          <w:ilvl w:val="0"/>
          <w:numId w:val="22"/>
        </w:numPr>
        <w:spacing w:after="0" w:line="264" w:lineRule="auto"/>
        <w:rPr>
          <w:rFonts w:eastAsiaTheme="minorHAnsi"/>
          <w:noProof/>
          <w:szCs w:val="22"/>
          <w:lang w:val="en-IE" w:eastAsia="en-GB"/>
        </w:rPr>
      </w:pPr>
      <w:r w:rsidRPr="00165CC4">
        <w:rPr>
          <w:rFonts w:eastAsiaTheme="minorHAnsi"/>
          <w:noProof/>
          <w:szCs w:val="22"/>
          <w:lang w:val="en-IE" w:eastAsia="en-GB"/>
        </w:rPr>
        <w:t>Civil Society Europe</w:t>
      </w:r>
    </w:p>
    <w:p w14:paraId="063057D2" w14:textId="77777777" w:rsidR="00165CC4" w:rsidRPr="00165CC4" w:rsidRDefault="00165CC4" w:rsidP="00165CC4">
      <w:pPr>
        <w:numPr>
          <w:ilvl w:val="0"/>
          <w:numId w:val="22"/>
        </w:numPr>
        <w:spacing w:after="0" w:line="264" w:lineRule="auto"/>
        <w:rPr>
          <w:rFonts w:eastAsiaTheme="minorHAnsi"/>
          <w:noProof/>
          <w:szCs w:val="22"/>
          <w:lang w:val="en-IE" w:eastAsia="en-GB"/>
        </w:rPr>
      </w:pPr>
      <w:r w:rsidRPr="00165CC4">
        <w:rPr>
          <w:rFonts w:eastAsiaTheme="minorHAnsi"/>
          <w:noProof/>
          <w:szCs w:val="22"/>
          <w:lang w:val="en-IE" w:eastAsia="en-GB"/>
        </w:rPr>
        <w:t>End FGM EU</w:t>
      </w:r>
    </w:p>
    <w:p w14:paraId="07A5CB90" w14:textId="77777777" w:rsidR="00165CC4" w:rsidRPr="00165CC4" w:rsidRDefault="00165CC4" w:rsidP="00165CC4">
      <w:pPr>
        <w:numPr>
          <w:ilvl w:val="0"/>
          <w:numId w:val="22"/>
        </w:numPr>
        <w:spacing w:after="0" w:line="264" w:lineRule="auto"/>
        <w:rPr>
          <w:rFonts w:eastAsiaTheme="minorHAnsi"/>
          <w:noProof/>
          <w:szCs w:val="22"/>
          <w:lang w:val="en-IE" w:eastAsia="en-GB"/>
        </w:rPr>
      </w:pPr>
      <w:r w:rsidRPr="00165CC4">
        <w:rPr>
          <w:rFonts w:eastAsiaTheme="minorHAnsi"/>
          <w:noProof/>
          <w:szCs w:val="22"/>
          <w:lang w:val="en-IE" w:eastAsia="en-GB"/>
        </w:rPr>
        <w:t>European Civic Forum</w:t>
      </w:r>
    </w:p>
    <w:p w14:paraId="7E7F1698" w14:textId="77777777" w:rsidR="00165CC4" w:rsidRPr="00165CC4" w:rsidRDefault="00165CC4" w:rsidP="00165CC4">
      <w:pPr>
        <w:numPr>
          <w:ilvl w:val="0"/>
          <w:numId w:val="22"/>
        </w:numPr>
        <w:spacing w:after="0" w:line="264" w:lineRule="auto"/>
        <w:rPr>
          <w:rFonts w:eastAsiaTheme="minorHAnsi"/>
          <w:noProof/>
          <w:szCs w:val="22"/>
          <w:lang w:val="en-IE" w:eastAsia="en-GB"/>
        </w:rPr>
      </w:pPr>
      <w:r w:rsidRPr="00165CC4">
        <w:rPr>
          <w:rFonts w:eastAsiaTheme="minorHAnsi"/>
          <w:noProof/>
          <w:szCs w:val="22"/>
          <w:lang w:val="en-IE" w:eastAsia="en-GB"/>
        </w:rPr>
        <w:t>European Partnership for Democracy</w:t>
      </w:r>
    </w:p>
    <w:p w14:paraId="6C92C9C4" w14:textId="77777777" w:rsidR="00165CC4" w:rsidRPr="00165CC4" w:rsidRDefault="00165CC4" w:rsidP="00165CC4">
      <w:pPr>
        <w:numPr>
          <w:ilvl w:val="0"/>
          <w:numId w:val="22"/>
        </w:numPr>
        <w:spacing w:after="0" w:line="264" w:lineRule="auto"/>
        <w:rPr>
          <w:rFonts w:eastAsiaTheme="minorHAnsi"/>
          <w:noProof/>
          <w:szCs w:val="22"/>
          <w:lang w:val="en-IE" w:eastAsia="en-GB"/>
        </w:rPr>
      </w:pPr>
      <w:r w:rsidRPr="00165CC4">
        <w:rPr>
          <w:rFonts w:eastAsiaTheme="minorHAnsi"/>
          <w:noProof/>
          <w:szCs w:val="22"/>
          <w:lang w:val="en-IE" w:eastAsia="en-GB"/>
        </w:rPr>
        <w:t>Human Rights Watch</w:t>
      </w:r>
    </w:p>
    <w:p w14:paraId="56534A7B" w14:textId="77777777" w:rsidR="00165CC4" w:rsidRPr="00165CC4" w:rsidRDefault="00165CC4" w:rsidP="00165CC4">
      <w:pPr>
        <w:numPr>
          <w:ilvl w:val="0"/>
          <w:numId w:val="22"/>
        </w:numPr>
        <w:spacing w:after="0" w:line="264" w:lineRule="auto"/>
        <w:rPr>
          <w:rFonts w:eastAsiaTheme="minorHAnsi"/>
          <w:noProof/>
          <w:szCs w:val="22"/>
          <w:lang w:val="en-IE" w:eastAsia="en-GB"/>
        </w:rPr>
      </w:pPr>
      <w:r w:rsidRPr="00165CC4">
        <w:rPr>
          <w:rFonts w:eastAsiaTheme="minorHAnsi"/>
          <w:noProof/>
          <w:szCs w:val="22"/>
          <w:lang w:val="en-IE" w:eastAsia="en-GB"/>
        </w:rPr>
        <w:t>ILGA-Europe</w:t>
      </w:r>
    </w:p>
    <w:p w14:paraId="545D2846" w14:textId="77777777" w:rsidR="00165CC4" w:rsidRPr="00165CC4" w:rsidRDefault="00165CC4" w:rsidP="00165CC4">
      <w:pPr>
        <w:numPr>
          <w:ilvl w:val="0"/>
          <w:numId w:val="22"/>
        </w:numPr>
        <w:spacing w:after="0" w:line="264" w:lineRule="auto"/>
        <w:rPr>
          <w:rFonts w:eastAsiaTheme="minorHAnsi"/>
          <w:noProof/>
          <w:szCs w:val="22"/>
          <w:lang w:val="en-IE" w:eastAsia="en-GB"/>
        </w:rPr>
      </w:pPr>
      <w:r w:rsidRPr="00165CC4">
        <w:rPr>
          <w:rFonts w:eastAsiaTheme="minorHAnsi"/>
          <w:noProof/>
          <w:szCs w:val="22"/>
          <w:lang w:val="en-IE" w:eastAsia="en-GB"/>
        </w:rPr>
        <w:t>International Federation for Human Rights</w:t>
      </w:r>
    </w:p>
    <w:p w14:paraId="14DEEC3C" w14:textId="77777777" w:rsidR="00165CC4" w:rsidRPr="00165CC4" w:rsidRDefault="00165CC4" w:rsidP="00165CC4">
      <w:pPr>
        <w:numPr>
          <w:ilvl w:val="0"/>
          <w:numId w:val="22"/>
        </w:numPr>
        <w:spacing w:after="0" w:line="264" w:lineRule="auto"/>
        <w:rPr>
          <w:rFonts w:eastAsiaTheme="minorHAnsi"/>
          <w:noProof/>
          <w:szCs w:val="22"/>
          <w:lang w:val="en-IE" w:eastAsia="en-GB"/>
        </w:rPr>
      </w:pPr>
      <w:r w:rsidRPr="00165CC4">
        <w:rPr>
          <w:rFonts w:eastAsiaTheme="minorHAnsi"/>
          <w:noProof/>
          <w:szCs w:val="22"/>
          <w:lang w:val="en-IE" w:eastAsia="en-GB"/>
        </w:rPr>
        <w:t>Philea - Philanthropy Europe Association</w:t>
      </w:r>
    </w:p>
    <w:p w14:paraId="7C71BB12" w14:textId="73F8F8EC" w:rsidR="00CD604B" w:rsidRPr="004F49F5" w:rsidRDefault="00165CC4" w:rsidP="00B51782">
      <w:pPr>
        <w:numPr>
          <w:ilvl w:val="0"/>
          <w:numId w:val="22"/>
        </w:numPr>
        <w:spacing w:after="0" w:line="264" w:lineRule="auto"/>
        <w:rPr>
          <w:rFonts w:eastAsiaTheme="minorHAnsi"/>
          <w:noProof/>
          <w:szCs w:val="22"/>
          <w:lang w:val="en-IE" w:eastAsia="en-GB"/>
        </w:rPr>
      </w:pPr>
      <w:r w:rsidRPr="00165CC4">
        <w:rPr>
          <w:rFonts w:eastAsiaTheme="minorHAnsi"/>
          <w:noProof/>
          <w:szCs w:val="22"/>
          <w:lang w:val="en-IE" w:eastAsia="en-GB"/>
        </w:rPr>
        <w:t>Transparency International EU</w:t>
      </w:r>
    </w:p>
    <w:sectPr w:rsidR="00CD604B" w:rsidRPr="004F49F5" w:rsidSect="00165CC4">
      <w:headerReference w:type="even" r:id="rId91"/>
      <w:headerReference w:type="default" r:id="rId92"/>
      <w:footerReference w:type="even" r:id="rId93"/>
      <w:footerReference w:type="default" r:id="rId94"/>
      <w:headerReference w:type="first" r:id="rId95"/>
      <w:footerReference w:type="first" r:id="rId96"/>
      <w:pgSz w:w="11906" w:h="16838"/>
      <w:pgMar w:top="1440" w:right="1440" w:bottom="1440" w:left="1440" w:header="601" w:footer="107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1B2BDB" w14:textId="77777777" w:rsidR="000531AC" w:rsidRDefault="000531AC">
      <w:pPr>
        <w:spacing w:after="0"/>
      </w:pPr>
      <w:r>
        <w:separator/>
      </w:r>
    </w:p>
  </w:endnote>
  <w:endnote w:type="continuationSeparator" w:id="0">
    <w:p w14:paraId="5E1CCF34" w14:textId="77777777" w:rsidR="000531AC" w:rsidRDefault="000531A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3C9593" w14:textId="5C457EC4" w:rsidR="00F4719A" w:rsidRPr="00F4719A" w:rsidRDefault="00F4719A" w:rsidP="00F4719A">
    <w:pPr>
      <w:pStyle w:val="FooterCoverPage"/>
      <w:rPr>
        <w:rFonts w:ascii="Arial" w:hAnsi="Arial" w:cs="Arial"/>
        <w:b/>
        <w:sz w:val="48"/>
      </w:rPr>
    </w:pPr>
    <w:r w:rsidRPr="00F4719A">
      <w:rPr>
        <w:rFonts w:ascii="Arial" w:hAnsi="Arial" w:cs="Arial"/>
        <w:b/>
        <w:sz w:val="48"/>
      </w:rPr>
      <w:t>EN</w:t>
    </w:r>
    <w:r w:rsidRPr="00F4719A">
      <w:rPr>
        <w:rFonts w:ascii="Arial" w:hAnsi="Arial" w:cs="Arial"/>
        <w:b/>
        <w:sz w:val="48"/>
      </w:rPr>
      <w:tab/>
    </w:r>
    <w:r w:rsidRPr="00F4719A">
      <w:rPr>
        <w:rFonts w:ascii="Arial" w:hAnsi="Arial" w:cs="Arial"/>
        <w:b/>
        <w:sz w:val="48"/>
      </w:rPr>
      <w:tab/>
    </w:r>
    <w:r w:rsidRPr="00F4719A">
      <w:tab/>
    </w:r>
    <w:r w:rsidRPr="00F4719A">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6F2506" w14:textId="7C188CB3" w:rsidR="00F4719A" w:rsidRPr="00F4719A" w:rsidRDefault="00F4719A" w:rsidP="00F4719A">
    <w:pPr>
      <w:pStyle w:val="FooterCoverPage"/>
      <w:rPr>
        <w:rFonts w:ascii="Arial" w:hAnsi="Arial" w:cs="Arial"/>
        <w:b/>
        <w:sz w:val="48"/>
      </w:rPr>
    </w:pPr>
    <w:r w:rsidRPr="00F4719A">
      <w:rPr>
        <w:rFonts w:ascii="Arial" w:hAnsi="Arial" w:cs="Arial"/>
        <w:b/>
        <w:sz w:val="48"/>
      </w:rPr>
      <w:t>EN</w:t>
    </w:r>
    <w:r w:rsidRPr="00F4719A">
      <w:rPr>
        <w:rFonts w:ascii="Arial" w:hAnsi="Arial" w:cs="Arial"/>
        <w:b/>
        <w:sz w:val="48"/>
      </w:rPr>
      <w:tab/>
    </w:r>
    <w:r w:rsidRPr="00F4719A">
      <w:rPr>
        <w:rFonts w:ascii="Arial" w:hAnsi="Arial" w:cs="Arial"/>
        <w:b/>
        <w:sz w:val="48"/>
      </w:rPr>
      <w:tab/>
    </w:r>
    <w:r w:rsidRPr="00F4719A">
      <w:tab/>
    </w:r>
    <w:r w:rsidRPr="00F4719A">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EC7C71" w14:textId="77777777" w:rsidR="00F4719A" w:rsidRPr="00F4719A" w:rsidRDefault="00F4719A" w:rsidP="00F4719A">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8C6C82" w14:textId="77777777" w:rsidR="00165CC4" w:rsidRDefault="00165CC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1777622"/>
      <w:docPartObj>
        <w:docPartGallery w:val="Page Numbers (Bottom of Page)"/>
        <w:docPartUnique/>
      </w:docPartObj>
    </w:sdtPr>
    <w:sdtEndPr>
      <w:rPr>
        <w:noProof/>
        <w:sz w:val="24"/>
        <w:szCs w:val="24"/>
      </w:rPr>
    </w:sdtEndPr>
    <w:sdtContent>
      <w:p w14:paraId="524892CB" w14:textId="1896B22E" w:rsidR="00165CC4" w:rsidRPr="00FE2C2E" w:rsidRDefault="00165CC4">
        <w:pPr>
          <w:pStyle w:val="Footer"/>
          <w:jc w:val="center"/>
          <w:rPr>
            <w:sz w:val="24"/>
            <w:szCs w:val="24"/>
          </w:rPr>
        </w:pPr>
        <w:r w:rsidRPr="00FE2C2E">
          <w:rPr>
            <w:sz w:val="24"/>
            <w:szCs w:val="24"/>
          </w:rPr>
          <w:fldChar w:fldCharType="begin"/>
        </w:r>
        <w:r w:rsidRPr="00FE2C2E">
          <w:rPr>
            <w:sz w:val="24"/>
            <w:szCs w:val="24"/>
          </w:rPr>
          <w:instrText xml:space="preserve"> PAGE   \* MERGEFORMAT </w:instrText>
        </w:r>
        <w:r w:rsidRPr="00FE2C2E">
          <w:rPr>
            <w:sz w:val="24"/>
            <w:szCs w:val="24"/>
          </w:rPr>
          <w:fldChar w:fldCharType="separate"/>
        </w:r>
        <w:r w:rsidR="00F4719A">
          <w:rPr>
            <w:noProof/>
            <w:sz w:val="24"/>
            <w:szCs w:val="24"/>
          </w:rPr>
          <w:t>2</w:t>
        </w:r>
        <w:r w:rsidRPr="00FE2C2E">
          <w:rPr>
            <w:noProof/>
            <w:sz w:val="24"/>
            <w:szCs w:val="24"/>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6414098"/>
      <w:docPartObj>
        <w:docPartGallery w:val="Page Numbers (Bottom of Page)"/>
        <w:docPartUnique/>
      </w:docPartObj>
    </w:sdtPr>
    <w:sdtEndPr>
      <w:rPr>
        <w:noProof/>
      </w:rPr>
    </w:sdtEndPr>
    <w:sdtContent>
      <w:p w14:paraId="405B08D9" w14:textId="77777777" w:rsidR="00165CC4" w:rsidRDefault="00165CC4">
        <w:pPr>
          <w:pStyle w:val="Footer"/>
          <w:jc w:val="center"/>
        </w:pPr>
      </w:p>
      <w:p w14:paraId="7F6F3B94" w14:textId="77777777" w:rsidR="00165CC4" w:rsidRDefault="00165CC4">
        <w:pPr>
          <w:pStyle w:val="Footer"/>
          <w:jc w:val="center"/>
        </w:pPr>
      </w:p>
      <w:p w14:paraId="694D994B" w14:textId="77777777" w:rsidR="00165CC4" w:rsidRDefault="00165CC4" w:rsidP="00D7664E">
        <w:pPr>
          <w:pStyle w:val="Footer"/>
          <w:jc w:val="center"/>
          <w:rPr>
            <w:noProof/>
          </w:rPr>
        </w:pPr>
        <w:r>
          <w:fldChar w:fldCharType="begin"/>
        </w:r>
        <w:r>
          <w:instrText xml:space="preserve"> PAGE   \* MERGEFORMAT </w:instrText>
        </w:r>
        <w:r>
          <w:fldChar w:fldCharType="separate"/>
        </w:r>
        <w:r>
          <w:rPr>
            <w:noProof/>
          </w:rPr>
          <w:t>3</w:t>
        </w:r>
        <w:r>
          <w:rPr>
            <w:noProof/>
          </w:rPr>
          <w:fldChar w:fldCharType="end"/>
        </w:r>
      </w:p>
    </w:sdtContent>
  </w:sdt>
  <w:p w14:paraId="60FECE40" w14:textId="77777777" w:rsidR="00165CC4" w:rsidRDefault="00165CC4"/>
  <w:p w14:paraId="2A3B5EB1" w14:textId="77777777" w:rsidR="00165CC4" w:rsidRDefault="00165CC4"/>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11F74F" w14:textId="77777777" w:rsidR="000531AC" w:rsidRDefault="000531AC">
      <w:pPr>
        <w:spacing w:after="0"/>
      </w:pPr>
      <w:r>
        <w:separator/>
      </w:r>
    </w:p>
  </w:footnote>
  <w:footnote w:type="continuationSeparator" w:id="0">
    <w:p w14:paraId="5497B1CC" w14:textId="77777777" w:rsidR="000531AC" w:rsidRDefault="000531AC">
      <w:pPr>
        <w:spacing w:after="0"/>
      </w:pPr>
      <w:r>
        <w:continuationSeparator/>
      </w:r>
    </w:p>
  </w:footnote>
  <w:footnote w:id="1">
    <w:p w14:paraId="4036A4C3" w14:textId="67DC5D31" w:rsidR="00165CC4" w:rsidRPr="00844D90" w:rsidRDefault="00165CC4" w:rsidP="00165CC4">
      <w:pPr>
        <w:pStyle w:val="FootnoteText"/>
        <w:rPr>
          <w:lang w:val="en-IE"/>
        </w:rPr>
      </w:pPr>
      <w:r w:rsidRPr="00844D90">
        <w:rPr>
          <w:rStyle w:val="FootnoteReference"/>
          <w:lang w:val="en-IE"/>
        </w:rPr>
        <w:footnoteRef/>
      </w:r>
      <w:r w:rsidR="003C657B">
        <w:rPr>
          <w:lang w:val="en-IE"/>
        </w:rPr>
        <w:t xml:space="preserve"> </w:t>
      </w:r>
      <w:r w:rsidRPr="003C657B">
        <w:rPr>
          <w:rStyle w:val="FootnoteReference"/>
          <w:vertAlign w:val="baseline"/>
          <w:lang w:val="en-IE"/>
        </w:rPr>
        <w:tab/>
      </w:r>
      <w:r w:rsidRPr="00844D90">
        <w:rPr>
          <w:lang w:val="en-IE"/>
        </w:rPr>
        <w:t xml:space="preserve">An overview of the institutional framework for all four pillars can be found </w:t>
      </w:r>
      <w:hyperlink r:id="rId1" w:history="1">
        <w:r w:rsidR="000B7834" w:rsidRPr="006D3DC9">
          <w:rPr>
            <w:rStyle w:val="Hyperlink"/>
            <w:lang w:val="en-US"/>
          </w:rPr>
          <w:t>here</w:t>
        </w:r>
      </w:hyperlink>
      <w:r w:rsidRPr="00844D90">
        <w:rPr>
          <w:lang w:val="en-IE"/>
        </w:rPr>
        <w:t>. </w:t>
      </w:r>
    </w:p>
  </w:footnote>
  <w:footnote w:id="2">
    <w:p w14:paraId="0B5BB1EC" w14:textId="00231CD6"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Figures 48 and 50, 2026 EU Justice Scoreboard and Figures 51 and 53, 2024 EU Justice Scoreboard. The level of perceived judicial independence is categorised as follows: very low (below 30</w:t>
      </w:r>
      <w:r w:rsidR="00624AD1">
        <w:rPr>
          <w:lang w:val="en-IE"/>
        </w:rPr>
        <w:t> </w:t>
      </w:r>
      <w:r w:rsidRPr="00844D90">
        <w:rPr>
          <w:lang w:val="en-IE"/>
        </w:rPr>
        <w:t>% of respondents perceive judicial independence as fairly good and very good); low (between 30-39</w:t>
      </w:r>
      <w:r w:rsidR="00624AD1">
        <w:rPr>
          <w:lang w:val="en-IE"/>
        </w:rPr>
        <w:t> </w:t>
      </w:r>
      <w:r w:rsidRPr="00844D90">
        <w:rPr>
          <w:lang w:val="en-IE"/>
        </w:rPr>
        <w:t>%), average (between 40-59</w:t>
      </w:r>
      <w:r w:rsidR="00624AD1">
        <w:rPr>
          <w:lang w:val="en-IE"/>
        </w:rPr>
        <w:t> </w:t>
      </w:r>
      <w:r w:rsidRPr="00844D90">
        <w:rPr>
          <w:lang w:val="en-IE"/>
        </w:rPr>
        <w:t>%), high (between 60-75</w:t>
      </w:r>
      <w:r w:rsidR="00624AD1">
        <w:rPr>
          <w:lang w:val="en-IE"/>
        </w:rPr>
        <w:t> </w:t>
      </w:r>
      <w:r w:rsidRPr="00844D90">
        <w:rPr>
          <w:lang w:val="en-IE"/>
        </w:rPr>
        <w:t>%), very high (above 75</w:t>
      </w:r>
      <w:r w:rsidR="00624AD1">
        <w:rPr>
          <w:lang w:val="en-IE"/>
        </w:rPr>
        <w:t> </w:t>
      </w:r>
      <w:r w:rsidRPr="00844D90">
        <w:rPr>
          <w:lang w:val="en-IE"/>
        </w:rPr>
        <w:t>%).</w:t>
      </w:r>
    </w:p>
  </w:footnote>
  <w:footnote w:id="3">
    <w:p w14:paraId="57C55F7C" w14:textId="5406CECF"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Country visit Netherlands, Council for the Judiciary and Dutch Association for the Judiciary. Examples brought up by stakeholders during the country visit include contemptuous</w:t>
      </w:r>
      <w:r w:rsidRPr="00844D90" w:rsidDel="002C6BC0">
        <w:rPr>
          <w:lang w:val="en-IE"/>
        </w:rPr>
        <w:t xml:space="preserve"> </w:t>
      </w:r>
      <w:r w:rsidRPr="00844D90">
        <w:rPr>
          <w:lang w:val="en-IE"/>
        </w:rPr>
        <w:t>parliamentary questions in February and March 2026 (Tweede Kamer (2026a); Tweede Kamer (2026)). The Council for the Judiciary states in its annual report that if a judge renders a judgment that may have political consequences, that does not mean he is rendering a political judgment (Council for the Judiciary (2026</w:t>
      </w:r>
      <w:r w:rsidR="00A11588">
        <w:rPr>
          <w:lang w:val="en-IE"/>
        </w:rPr>
        <w:t>b</w:t>
      </w:r>
      <w:r w:rsidRPr="00844D90">
        <w:rPr>
          <w:lang w:val="en-IE"/>
        </w:rPr>
        <w:t xml:space="preserve">), p. 6). </w:t>
      </w:r>
    </w:p>
  </w:footnote>
  <w:footnote w:id="4">
    <w:p w14:paraId="49ECED17" w14:textId="77777777"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r>
      <w:r w:rsidRPr="00844D90">
        <w:rPr>
          <w:lang w:val="en-IE" w:eastAsia="fr-FR"/>
        </w:rPr>
        <w:t>Council of Europe (2010), para. 18; Venice Commission (2013), paras. 21-22.</w:t>
      </w:r>
    </w:p>
  </w:footnote>
  <w:footnote w:id="5">
    <w:p w14:paraId="21506B6A" w14:textId="77777777"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2025 Rule of Law Report, Netherlands, p. 3.</w:t>
      </w:r>
    </w:p>
  </w:footnote>
  <w:footnote w:id="6">
    <w:p w14:paraId="2535961B" w14:textId="2B7DCF71" w:rsidR="00165CC4" w:rsidRPr="002A681C" w:rsidRDefault="00165CC4" w:rsidP="00165CC4">
      <w:pPr>
        <w:pStyle w:val="FootnoteText"/>
        <w:rPr>
          <w:lang w:val="nl-NL"/>
        </w:rPr>
      </w:pPr>
      <w:r w:rsidRPr="00844D90">
        <w:rPr>
          <w:rStyle w:val="FootnoteReference"/>
          <w:lang w:val="en-IE"/>
        </w:rPr>
        <w:footnoteRef/>
      </w:r>
      <w:r w:rsidRPr="002A681C">
        <w:rPr>
          <w:lang w:val="nl-NL"/>
        </w:rPr>
        <w:t xml:space="preserve"> </w:t>
      </w:r>
      <w:r w:rsidRPr="002A681C">
        <w:rPr>
          <w:lang w:val="nl-NL"/>
        </w:rPr>
        <w:tab/>
        <w:t>Tweede Kamer (2025</w:t>
      </w:r>
      <w:r w:rsidR="00B67B29" w:rsidRPr="002A681C">
        <w:rPr>
          <w:lang w:val="nl-NL"/>
        </w:rPr>
        <w:t>a</w:t>
      </w:r>
      <w:r w:rsidRPr="002A681C">
        <w:rPr>
          <w:lang w:val="nl-NL"/>
        </w:rPr>
        <w:t xml:space="preserve">). </w:t>
      </w:r>
    </w:p>
  </w:footnote>
  <w:footnote w:id="7">
    <w:p w14:paraId="13CC400F" w14:textId="77777777" w:rsidR="00165CC4" w:rsidRPr="002A681C" w:rsidRDefault="00165CC4" w:rsidP="00165CC4">
      <w:pPr>
        <w:pStyle w:val="FootnoteText"/>
        <w:rPr>
          <w:lang w:val="nl-NL"/>
        </w:rPr>
      </w:pPr>
      <w:r w:rsidRPr="00844D90">
        <w:rPr>
          <w:rStyle w:val="FootnoteReference"/>
          <w:lang w:val="en-IE"/>
        </w:rPr>
        <w:footnoteRef/>
      </w:r>
      <w:r w:rsidRPr="002A681C">
        <w:rPr>
          <w:lang w:val="nl-NL"/>
        </w:rPr>
        <w:t xml:space="preserve"> </w:t>
      </w:r>
      <w:r w:rsidRPr="002A681C">
        <w:rPr>
          <w:lang w:val="nl-NL"/>
        </w:rPr>
        <w:tab/>
        <w:t xml:space="preserve">Eerste Kamer (2025). </w:t>
      </w:r>
    </w:p>
  </w:footnote>
  <w:footnote w:id="8">
    <w:p w14:paraId="1DC24669" w14:textId="77777777" w:rsidR="00165CC4" w:rsidRPr="00844D90" w:rsidRDefault="00165CC4" w:rsidP="00165CC4">
      <w:pPr>
        <w:pStyle w:val="FootnoteText"/>
        <w:rPr>
          <w:lang w:val="en-IE"/>
        </w:rPr>
      </w:pPr>
      <w:r w:rsidRPr="00844D90">
        <w:rPr>
          <w:rStyle w:val="FootnoteReference"/>
          <w:lang w:val="en-IE"/>
        </w:rPr>
        <w:footnoteRef/>
      </w:r>
      <w:r w:rsidRPr="00331627">
        <w:rPr>
          <w:lang w:val="en-US"/>
        </w:rPr>
        <w:t xml:space="preserve"> </w:t>
      </w:r>
      <w:r w:rsidRPr="00331627">
        <w:rPr>
          <w:lang w:val="en-US"/>
        </w:rPr>
        <w:tab/>
        <w:t xml:space="preserve">Coalition Agreement (2026), p. 11. </w:t>
      </w:r>
      <w:r w:rsidRPr="00844D90">
        <w:rPr>
          <w:lang w:val="en-IE"/>
        </w:rPr>
        <w:t>Currently, the constitution does not allow constitutional review by judges. The Netherlands Constitution distinguishes “classic” fundamental rights (“</w:t>
      </w:r>
      <w:r w:rsidRPr="00903B26">
        <w:rPr>
          <w:lang w:val="en-IE"/>
        </w:rPr>
        <w:t>klassieke grondrechten</w:t>
      </w:r>
      <w:r w:rsidRPr="00844D90">
        <w:rPr>
          <w:lang w:val="en-IE"/>
        </w:rPr>
        <w:t>”) and “social” fundamental rights (“</w:t>
      </w:r>
      <w:r w:rsidRPr="00903B26">
        <w:rPr>
          <w:lang w:val="en-IE"/>
        </w:rPr>
        <w:t>sociale grondrechten</w:t>
      </w:r>
      <w:r w:rsidRPr="00844D90">
        <w:rPr>
          <w:lang w:val="en-IE"/>
        </w:rPr>
        <w:t xml:space="preserve">”). Judges would be able to review laws against “classic” fundamental rights only. </w:t>
      </w:r>
    </w:p>
  </w:footnote>
  <w:footnote w:id="9">
    <w:p w14:paraId="4113DE25" w14:textId="216629F9"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Country visit Netherlands, Council for the Judiciary</w:t>
      </w:r>
      <w:r w:rsidR="0081132D">
        <w:rPr>
          <w:lang w:val="en-IE"/>
        </w:rPr>
        <w:t>,</w:t>
      </w:r>
      <w:r w:rsidRPr="00844D90">
        <w:rPr>
          <w:lang w:val="en-IE"/>
        </w:rPr>
        <w:t xml:space="preserve"> Netherlands Bar Association (2025), pp. 40-41, 59, 83-84, 118, 153, 173-174</w:t>
      </w:r>
      <w:r w:rsidR="0081132D">
        <w:rPr>
          <w:lang w:val="en-IE"/>
        </w:rPr>
        <w:t>,</w:t>
      </w:r>
      <w:r w:rsidRPr="00844D90">
        <w:rPr>
          <w:lang w:val="en-IE"/>
        </w:rPr>
        <w:t xml:space="preserve"> Council for the Judiciary (2026a), p. 7. </w:t>
      </w:r>
    </w:p>
  </w:footnote>
  <w:footnote w:id="10">
    <w:p w14:paraId="323E0D88" w14:textId="77777777"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Coalition Agreement (2026), p. 11.</w:t>
      </w:r>
    </w:p>
  </w:footnote>
  <w:footnote w:id="11">
    <w:p w14:paraId="1199D6F4" w14:textId="34FDE857"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Council for the Judiciary (2025)</w:t>
      </w:r>
      <w:r w:rsidR="0081132D">
        <w:rPr>
          <w:lang w:val="en-IE"/>
        </w:rPr>
        <w:t>,</w:t>
      </w:r>
      <w:r w:rsidRPr="00844D90">
        <w:rPr>
          <w:lang w:val="en-IE"/>
        </w:rPr>
        <w:t xml:space="preserve"> Council for the Judiciary (2026</w:t>
      </w:r>
      <w:r w:rsidR="00F558B5">
        <w:rPr>
          <w:lang w:val="en-IE"/>
        </w:rPr>
        <w:t>b</w:t>
      </w:r>
      <w:r w:rsidRPr="00844D90">
        <w:rPr>
          <w:lang w:val="en-IE"/>
        </w:rPr>
        <w:t xml:space="preserve">), p. 7. European Network of Councils for the Judiciary (2026), p. 50. </w:t>
      </w:r>
      <w:r w:rsidRPr="00844D90">
        <w:rPr>
          <w:bCs/>
          <w:lang w:val="en-IE" w:eastAsia="fr-FR"/>
        </w:rPr>
        <w:t>The Council of State stated in the past that it did not see a reason to amend the role of the Minister in the appointment procedures (</w:t>
      </w:r>
      <w:r w:rsidRPr="00844D90">
        <w:rPr>
          <w:lang w:val="en-IE"/>
        </w:rPr>
        <w:t>Council of State (2020)).</w:t>
      </w:r>
    </w:p>
  </w:footnote>
  <w:footnote w:id="12">
    <w:p w14:paraId="55D7F920" w14:textId="0BF01A57"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Country visit Netherlands, Dutch Association for the Judiciary</w:t>
      </w:r>
      <w:r w:rsidR="00F32012">
        <w:rPr>
          <w:lang w:val="en-IE"/>
        </w:rPr>
        <w:t>,</w:t>
      </w:r>
      <w:r w:rsidRPr="00844D90">
        <w:rPr>
          <w:lang w:val="en-IE"/>
        </w:rPr>
        <w:t xml:space="preserve"> 2025 Rule of Law Report, Netherlands, p.3. </w:t>
      </w:r>
    </w:p>
  </w:footnote>
  <w:footnote w:id="13">
    <w:p w14:paraId="597D1A17" w14:textId="77777777"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2025 Rule of law Report, Netherlands, p. 4.</w:t>
      </w:r>
    </w:p>
  </w:footnote>
  <w:footnote w:id="14">
    <w:p w14:paraId="2F5EB98D" w14:textId="4FC64807"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Letter of lawyers to Presidents of courts and tribunal</w:t>
      </w:r>
      <w:r w:rsidR="004C2F51">
        <w:rPr>
          <w:lang w:val="en-IE"/>
        </w:rPr>
        <w:t>s</w:t>
      </w:r>
      <w:r w:rsidRPr="00844D90">
        <w:rPr>
          <w:lang w:val="en-IE"/>
        </w:rPr>
        <w:t xml:space="preserve"> and the senior prosecutors (2025). This letter refers to relevant national and European provisions and standards. </w:t>
      </w:r>
    </w:p>
  </w:footnote>
  <w:footnote w:id="15">
    <w:p w14:paraId="60011DDA" w14:textId="77777777"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 xml:space="preserve">Country visit Netherlands, Netherlands Bar association. The changes concern </w:t>
      </w:r>
      <w:r w:rsidRPr="00844D90">
        <w:rPr>
          <w:lang w:val="en-IE" w:eastAsia="en-GB"/>
        </w:rPr>
        <w:t xml:space="preserve">reduced image quality to prevent lip-reading and to improve transparency on the processing of the footage. Those changes should be reflected in an update of the information sheet for lawyers (Netherlands Government (2026), additional written input; </w:t>
      </w:r>
      <w:r w:rsidRPr="00844D90">
        <w:rPr>
          <w:lang w:val="en-IE"/>
        </w:rPr>
        <w:t xml:space="preserve">Custodial Institutions Agency (2025)). </w:t>
      </w:r>
    </w:p>
  </w:footnote>
  <w:footnote w:id="16">
    <w:p w14:paraId="25E326EA" w14:textId="77777777"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 xml:space="preserve">Country visit Netherlands, Netherlands Bar association. </w:t>
      </w:r>
    </w:p>
  </w:footnote>
  <w:footnote w:id="17">
    <w:p w14:paraId="16589602" w14:textId="77777777"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Netherlands Government (2026), additional written input.</w:t>
      </w:r>
    </w:p>
  </w:footnote>
  <w:footnote w:id="18">
    <w:p w14:paraId="5F7F8AA4" w14:textId="795D4E22"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 xml:space="preserve">Netherlands Bar association (2026), </w:t>
      </w:r>
      <w:r w:rsidR="003A55D5">
        <w:rPr>
          <w:lang w:val="en-IE"/>
        </w:rPr>
        <w:t xml:space="preserve">additional </w:t>
      </w:r>
      <w:r w:rsidRPr="00844D90">
        <w:rPr>
          <w:lang w:val="en-IE"/>
        </w:rPr>
        <w:t>written input</w:t>
      </w:r>
      <w:r w:rsidR="004C2F51">
        <w:rPr>
          <w:lang w:val="en-IE"/>
        </w:rPr>
        <w:t>; Netherlands Government (2026), additional written input</w:t>
      </w:r>
      <w:r w:rsidRPr="00844D90">
        <w:rPr>
          <w:lang w:val="en-IE"/>
        </w:rPr>
        <w:t xml:space="preserve">. </w:t>
      </w:r>
    </w:p>
  </w:footnote>
  <w:footnote w:id="19">
    <w:p w14:paraId="3AF68D18" w14:textId="13341CE3"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2025 Rule of Law Report, Netherlands, pp. 4-5;</w:t>
      </w:r>
      <w:r w:rsidR="00127FDB">
        <w:rPr>
          <w:lang w:val="en-IE"/>
        </w:rPr>
        <w:t xml:space="preserve"> Figures 39 – 47,</w:t>
      </w:r>
      <w:r w:rsidRPr="00844D90">
        <w:rPr>
          <w:lang w:val="en-IE"/>
        </w:rPr>
        <w:t xml:space="preserve"> 2026 EU Justice Scoreboard.</w:t>
      </w:r>
    </w:p>
  </w:footnote>
  <w:footnote w:id="20">
    <w:p w14:paraId="1F8FB18E" w14:textId="36C777FD"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r>
      <w:r w:rsidR="00127FDB">
        <w:rPr>
          <w:lang w:val="en-IE"/>
        </w:rPr>
        <w:t xml:space="preserve">Figure 42, </w:t>
      </w:r>
      <w:r w:rsidRPr="00844D90">
        <w:rPr>
          <w:lang w:val="en-IE"/>
        </w:rPr>
        <w:t xml:space="preserve">2026 EU Justice Scoreboard. </w:t>
      </w:r>
    </w:p>
  </w:footnote>
  <w:footnote w:id="21">
    <w:p w14:paraId="669B5446" w14:textId="77777777"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Netherlands Government (2026), written input, p. 6.</w:t>
      </w:r>
    </w:p>
  </w:footnote>
  <w:footnote w:id="22">
    <w:p w14:paraId="6FFCEA67" w14:textId="257344E8"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 xml:space="preserve">Judgment of the Supreme Court, ECLI:NL:HR:2025:902. </w:t>
      </w:r>
      <w:r w:rsidRPr="00844D90">
        <w:rPr>
          <w:noProof/>
          <w:lang w:val="en-IE" w:eastAsia="fr-FR"/>
        </w:rPr>
        <w:t>For criminal cases and immigration detention cases a legal basis already existed (</w:t>
      </w:r>
      <w:r w:rsidRPr="00844D90">
        <w:rPr>
          <w:lang w:val="en-IE"/>
        </w:rPr>
        <w:t>Article 131a Code of Criminal Procedure; Article 97 Aliens Act</w:t>
      </w:r>
      <w:r w:rsidR="00AF1A26">
        <w:rPr>
          <w:lang w:val="en-IE"/>
        </w:rPr>
        <w:t>;</w:t>
      </w:r>
      <w:r w:rsidRPr="00844D90">
        <w:rPr>
          <w:lang w:val="en-IE"/>
        </w:rPr>
        <w:t xml:space="preserve"> Decision on Videoconferencing (Stb. 2022, 465)). </w:t>
      </w:r>
    </w:p>
  </w:footnote>
  <w:footnote w:id="23">
    <w:p w14:paraId="54B95D9D" w14:textId="77777777"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Council for the Judiciary (2026a), p. 22.</w:t>
      </w:r>
    </w:p>
  </w:footnote>
  <w:footnote w:id="24">
    <w:p w14:paraId="664934F6" w14:textId="2C90BDED"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The team behind the tool (“</w:t>
      </w:r>
      <w:r w:rsidRPr="00903B26">
        <w:rPr>
          <w:lang w:val="en-IE"/>
        </w:rPr>
        <w:t>voorRecht-rechtspraak</w:t>
      </w:r>
      <w:r w:rsidRPr="00844D90">
        <w:rPr>
          <w:lang w:val="en-IE"/>
        </w:rPr>
        <w:t xml:space="preserve">”) provides information about rights and obligations in </w:t>
      </w:r>
      <w:r w:rsidR="002D4AAD">
        <w:rPr>
          <w:lang w:val="en-IE"/>
        </w:rPr>
        <w:t>accessible</w:t>
      </w:r>
      <w:r w:rsidR="00AF1A26" w:rsidRPr="00844D90">
        <w:rPr>
          <w:lang w:val="en-IE"/>
        </w:rPr>
        <w:t xml:space="preserve"> </w:t>
      </w:r>
      <w:r w:rsidRPr="00844D90">
        <w:rPr>
          <w:lang w:val="en-IE"/>
        </w:rPr>
        <w:t xml:space="preserve">language and gives tips to find a solution without the involvement of a judge, for example with the help of an expert or mediator. Eventually, if needed, a judge can be involved to find a solution to a dispute. The tool was awarded the title “best government innovation 2025”, see </w:t>
      </w:r>
      <w:bookmarkStart w:id="4" w:name="_Hlk226712636"/>
      <w:r w:rsidRPr="00844D90">
        <w:rPr>
          <w:lang w:val="en-IE"/>
        </w:rPr>
        <w:t xml:space="preserve">Government awards (2025). </w:t>
      </w:r>
      <w:bookmarkEnd w:id="4"/>
    </w:p>
  </w:footnote>
  <w:footnote w:id="25">
    <w:p w14:paraId="2181B4E9" w14:textId="77777777"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 xml:space="preserve">Council for the Judiciary (2026), p. 46. </w:t>
      </w:r>
    </w:p>
  </w:footnote>
  <w:footnote w:id="26">
    <w:p w14:paraId="08060592" w14:textId="72CB6640"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The judiciary can already use “RechtspraakGPT”, enabling judiciary staff to use generative AI for simple administrative tasks. Country visit Netherlands, Council for the Judiciary</w:t>
      </w:r>
      <w:r w:rsidR="007E4E1D">
        <w:rPr>
          <w:lang w:val="en-IE"/>
        </w:rPr>
        <w:t>,</w:t>
      </w:r>
      <w:r w:rsidRPr="00844D90">
        <w:rPr>
          <w:lang w:val="en-IE"/>
        </w:rPr>
        <w:t xml:space="preserve"> Netherlands Government (2026), written input</w:t>
      </w:r>
      <w:r w:rsidR="007E4E1D">
        <w:rPr>
          <w:lang w:val="en-IE"/>
        </w:rPr>
        <w:t xml:space="preserve">, p. </w:t>
      </w:r>
      <w:r w:rsidR="00BF4DE9">
        <w:rPr>
          <w:lang w:val="en-IE"/>
        </w:rPr>
        <w:t>7</w:t>
      </w:r>
      <w:r w:rsidRPr="00844D90">
        <w:rPr>
          <w:lang w:val="en-IE"/>
        </w:rPr>
        <w:t xml:space="preserve">; Netherlands Government (2026), additional written input. </w:t>
      </w:r>
    </w:p>
  </w:footnote>
  <w:footnote w:id="27">
    <w:p w14:paraId="6A106AFB" w14:textId="312F19B4"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Public Prosecution Service (2025)</w:t>
      </w:r>
      <w:r w:rsidR="005C322F">
        <w:rPr>
          <w:lang w:val="en-IE"/>
        </w:rPr>
        <w:t>,</w:t>
      </w:r>
      <w:r w:rsidRPr="00844D90">
        <w:rPr>
          <w:lang w:val="en-IE"/>
        </w:rPr>
        <w:t xml:space="preserve"> Country visit Netherlands, Public Prosecution Service. </w:t>
      </w:r>
    </w:p>
  </w:footnote>
  <w:footnote w:id="28">
    <w:p w14:paraId="12E52130" w14:textId="7862DA0D"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 xml:space="preserve">The 2025 Rule of Law Report recommended </w:t>
      </w:r>
      <w:r w:rsidR="005C322F">
        <w:rPr>
          <w:lang w:val="en-IE"/>
        </w:rPr>
        <w:t xml:space="preserve">to </w:t>
      </w:r>
      <w:r w:rsidRPr="00844D90">
        <w:rPr>
          <w:lang w:val="en-IE"/>
        </w:rPr>
        <w:t xml:space="preserve">the Netherlands to “Continue efforts to improve challenging working conditions in the justice system and address shortages in human resources”. Some progress was previously assessed on this recommendation in 2025. </w:t>
      </w:r>
    </w:p>
  </w:footnote>
  <w:footnote w:id="29">
    <w:p w14:paraId="7B36E788" w14:textId="2B7FB4F8"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Netherlands Government (2026), additional written input</w:t>
      </w:r>
      <w:r w:rsidR="005C322F">
        <w:rPr>
          <w:lang w:val="en-IE"/>
        </w:rPr>
        <w:t>,</w:t>
      </w:r>
      <w:r w:rsidRPr="00844D90">
        <w:rPr>
          <w:lang w:val="en-IE"/>
        </w:rPr>
        <w:t xml:space="preserve"> Tweede Kamer (2025). </w:t>
      </w:r>
      <w:r w:rsidRPr="00844D90">
        <w:rPr>
          <w:lang w:val="en-IE" w:eastAsia="en-GB"/>
        </w:rPr>
        <w:t xml:space="preserve">The Chamber of Representatives and Court of Audit made critical remarks on the budget of the Ministry of Justice, of which the budget of the judiciary is part, </w:t>
      </w:r>
      <w:r w:rsidRPr="00844D90">
        <w:rPr>
          <w:lang w:val="en-IE"/>
        </w:rPr>
        <w:t>Country visit Netherlands, Court of Audit; Court of Audit (2025)</w:t>
      </w:r>
      <w:r w:rsidR="003B643B">
        <w:rPr>
          <w:lang w:val="en-IE"/>
        </w:rPr>
        <w:t>;</w:t>
      </w:r>
      <w:r w:rsidRPr="00844D90">
        <w:rPr>
          <w:lang w:val="en-IE"/>
        </w:rPr>
        <w:t xml:space="preserve"> Netherlands Government (2026</w:t>
      </w:r>
      <w:r w:rsidR="00395116">
        <w:rPr>
          <w:lang w:val="en-IE"/>
        </w:rPr>
        <w:t>a</w:t>
      </w:r>
      <w:r w:rsidRPr="00844D90">
        <w:rPr>
          <w:lang w:val="en-IE"/>
        </w:rPr>
        <w:t xml:space="preserve">). </w:t>
      </w:r>
    </w:p>
  </w:footnote>
  <w:footnote w:id="30">
    <w:p w14:paraId="045D35FC" w14:textId="77777777"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 xml:space="preserve">Tweede Kamer (2026b). </w:t>
      </w:r>
    </w:p>
  </w:footnote>
  <w:footnote w:id="31">
    <w:p w14:paraId="06ECB57B" w14:textId="77777777"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 xml:space="preserve">Country visit Netherlands, Council for the Judiciary. </w:t>
      </w:r>
    </w:p>
  </w:footnote>
  <w:footnote w:id="32">
    <w:p w14:paraId="41FAD440" w14:textId="3C04DED2"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r>
      <w:r w:rsidR="00C9533E">
        <w:rPr>
          <w:lang w:val="en-IE"/>
        </w:rPr>
        <w:t>I</w:t>
      </w:r>
      <w:r w:rsidR="003735CA">
        <w:rPr>
          <w:lang w:val="en-IE"/>
        </w:rPr>
        <w:t>bidem.</w:t>
      </w:r>
      <w:r w:rsidR="00B94D41">
        <w:rPr>
          <w:lang w:val="en-IE"/>
        </w:rPr>
        <w:t xml:space="preserve"> </w:t>
      </w:r>
    </w:p>
  </w:footnote>
  <w:footnote w:id="33">
    <w:p w14:paraId="4EAD674D" w14:textId="59F174BA"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Council for the Judiciary (2026</w:t>
      </w:r>
      <w:r w:rsidR="00024CAA">
        <w:rPr>
          <w:lang w:val="en-IE"/>
        </w:rPr>
        <w:t>b</w:t>
      </w:r>
      <w:r w:rsidRPr="00844D90">
        <w:rPr>
          <w:lang w:val="en-IE"/>
        </w:rPr>
        <w:t xml:space="preserve">), p. 61. It takes between 1 and 4 years to finish the training procedure to become a judge, depending on previous work experience. </w:t>
      </w:r>
    </w:p>
  </w:footnote>
  <w:footnote w:id="34">
    <w:p w14:paraId="6D60DCD2" w14:textId="078F1D11"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European Association for Judges (2026), written input</w:t>
      </w:r>
      <w:r w:rsidR="003735CA">
        <w:rPr>
          <w:lang w:val="en-IE"/>
        </w:rPr>
        <w:t xml:space="preserve">, p. </w:t>
      </w:r>
      <w:r w:rsidR="001C22F9">
        <w:rPr>
          <w:lang w:val="en-IE"/>
        </w:rPr>
        <w:t>29</w:t>
      </w:r>
      <w:r w:rsidRPr="00844D90">
        <w:rPr>
          <w:lang w:val="en-IE"/>
        </w:rPr>
        <w:t xml:space="preserve">. The Dutch Association for the Judiciary is a member of EAJ. </w:t>
      </w:r>
    </w:p>
  </w:footnote>
  <w:footnote w:id="35">
    <w:p w14:paraId="38045B0D" w14:textId="77777777"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Country visit Netherlands, Council for the Judiciary.</w:t>
      </w:r>
    </w:p>
  </w:footnote>
  <w:footnote w:id="36">
    <w:p w14:paraId="1A25D7D1" w14:textId="77777777"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Country visit Netherlands, Public Prosecution Service. This conclusion is confirmed by European Association of Judges (2026), written input, p.3.</w:t>
      </w:r>
    </w:p>
  </w:footnote>
  <w:footnote w:id="37">
    <w:p w14:paraId="38D53B74" w14:textId="77777777"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Country visit Netherlands, Council of State.</w:t>
      </w:r>
    </w:p>
  </w:footnote>
  <w:footnote w:id="38">
    <w:p w14:paraId="600521A5" w14:textId="312C778C" w:rsidR="00EF3DBA" w:rsidRPr="00992662" w:rsidRDefault="00EF3DBA">
      <w:pPr>
        <w:pStyle w:val="FootnoteText"/>
        <w:rPr>
          <w:lang w:val="en-US"/>
        </w:rPr>
      </w:pPr>
      <w:r>
        <w:rPr>
          <w:rStyle w:val="FootnoteReference"/>
        </w:rPr>
        <w:footnoteRef/>
      </w:r>
      <w:r w:rsidR="003F5EAF">
        <w:t xml:space="preserve"> </w:t>
      </w:r>
      <w:r>
        <w:tab/>
        <w:t xml:space="preserve">Council of State (2026), written input. </w:t>
      </w:r>
    </w:p>
  </w:footnote>
  <w:footnote w:id="39">
    <w:p w14:paraId="67569267" w14:textId="77777777"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Legal Aid Fees Decree 2000 (</w:t>
      </w:r>
      <w:r w:rsidRPr="00903B26">
        <w:rPr>
          <w:i/>
          <w:iCs/>
          <w:lang w:val="en-IE"/>
        </w:rPr>
        <w:t>Besluit vergoedingen rechtsbijstand 2000</w:t>
      </w:r>
      <w:r w:rsidRPr="00844D90">
        <w:rPr>
          <w:lang w:val="en-IE"/>
        </w:rPr>
        <w:t xml:space="preserve">), BWBR0011018, in the version in force as of 1 February 2026. </w:t>
      </w:r>
    </w:p>
  </w:footnote>
  <w:footnote w:id="40">
    <w:p w14:paraId="7F3B5B45" w14:textId="77777777"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 xml:space="preserve">Decision of 4 December 2025 to amend the Legal Aid Fees Decree, stb-2025-415, explanatory memorandum Section 7. </w:t>
      </w:r>
    </w:p>
  </w:footnote>
  <w:footnote w:id="41">
    <w:p w14:paraId="23296ED0" w14:textId="77777777"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 xml:space="preserve">Conducted by the Van der Meer II Committee. 2025 Rule of Law Report, Netherlands, p. 6. </w:t>
      </w:r>
    </w:p>
  </w:footnote>
  <w:footnote w:id="42">
    <w:p w14:paraId="078CE813" w14:textId="0C535ED9"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 xml:space="preserve">Netherlands bar association (2026), </w:t>
      </w:r>
      <w:r w:rsidR="003A55D5">
        <w:rPr>
          <w:lang w:val="en-IE"/>
        </w:rPr>
        <w:t xml:space="preserve">additional </w:t>
      </w:r>
      <w:r w:rsidRPr="00844D90">
        <w:rPr>
          <w:lang w:val="en-IE"/>
        </w:rPr>
        <w:t xml:space="preserve">written input, p.1; </w:t>
      </w:r>
      <w:r w:rsidRPr="00844D90">
        <w:rPr>
          <w:szCs w:val="24"/>
          <w:lang w:val="en-IE"/>
        </w:rPr>
        <w:t>NJCM, NHC, TI-NL, FPU, RNW (2026)</w:t>
      </w:r>
      <w:r w:rsidRPr="00844D90">
        <w:rPr>
          <w:lang w:val="en-IE"/>
        </w:rPr>
        <w:t>, written input, p. 11.</w:t>
      </w:r>
    </w:p>
  </w:footnote>
  <w:footnote w:id="43">
    <w:p w14:paraId="43AFD175" w14:textId="77777777"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 xml:space="preserve">National coordinator against discrimination and racism (2025). </w:t>
      </w:r>
    </w:p>
  </w:footnote>
  <w:footnote w:id="44">
    <w:p w14:paraId="4B0343F4" w14:textId="77777777"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 xml:space="preserve">2025 Rule of Law Report, Netherlands, p. 6. See the concerns described by the Council for the Judiciary, the Supreme Court’s Attorney General, Police Unions and the Netherlands Bar Association. </w:t>
      </w:r>
    </w:p>
  </w:footnote>
  <w:footnote w:id="45">
    <w:p w14:paraId="5752C84C" w14:textId="77777777"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 xml:space="preserve">Supreme Court (2026); Supreme Court (2026a). </w:t>
      </w:r>
    </w:p>
  </w:footnote>
  <w:footnote w:id="46">
    <w:p w14:paraId="1DDAF197" w14:textId="3FA44DC9"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Public Prosecution Service (2026</w:t>
      </w:r>
      <w:r w:rsidR="00F17272">
        <w:rPr>
          <w:lang w:val="en-IE"/>
        </w:rPr>
        <w:t>b</w:t>
      </w:r>
      <w:r w:rsidRPr="00844D90">
        <w:rPr>
          <w:lang w:val="en-IE"/>
        </w:rPr>
        <w:t xml:space="preserve">). </w:t>
      </w:r>
    </w:p>
  </w:footnote>
  <w:footnote w:id="47">
    <w:p w14:paraId="1A749D75" w14:textId="336EF10F"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r>
      <w:r w:rsidR="0061732F">
        <w:rPr>
          <w:lang w:val="en-IE"/>
        </w:rPr>
        <w:t xml:space="preserve">Research and Data Centre </w:t>
      </w:r>
      <w:r w:rsidRPr="00844D90">
        <w:rPr>
          <w:lang w:val="en-IE"/>
        </w:rPr>
        <w:t>WODC / Pro Facto (2026)</w:t>
      </w:r>
      <w:r w:rsidR="00FD53FB">
        <w:rPr>
          <w:lang w:val="en-IE"/>
        </w:rPr>
        <w:t xml:space="preserve">, </w:t>
      </w:r>
      <w:r w:rsidR="00F558D4">
        <w:rPr>
          <w:lang w:val="en-IE"/>
        </w:rPr>
        <w:t>p</w:t>
      </w:r>
      <w:r w:rsidR="00FD53FB">
        <w:rPr>
          <w:lang w:val="en-IE"/>
        </w:rPr>
        <w:t xml:space="preserve">p. </w:t>
      </w:r>
      <w:r w:rsidR="00F558D4">
        <w:rPr>
          <w:lang w:val="en-IE"/>
        </w:rPr>
        <w:t>53-54, 109-110</w:t>
      </w:r>
      <w:r w:rsidRPr="00844D90">
        <w:rPr>
          <w:lang w:val="en-IE"/>
        </w:rPr>
        <w:t xml:space="preserve">; The 2025 Rule of Law Report, Netherlands, p. 6 describes the concerns of the Council for the Judiciary, the Supreme Court’s Procurator General, Police Unions and the Netherlands Bar Association. </w:t>
      </w:r>
    </w:p>
  </w:footnote>
  <w:footnote w:id="48">
    <w:p w14:paraId="06C94FC6" w14:textId="77777777"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 xml:space="preserve">2025 Rule of Law Report, Netherlands, p. 6. </w:t>
      </w:r>
    </w:p>
  </w:footnote>
  <w:footnote w:id="49">
    <w:p w14:paraId="7406103B" w14:textId="77777777"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 xml:space="preserve">2025 Rule of Law Report, Netherlands, p. 6. </w:t>
      </w:r>
    </w:p>
  </w:footnote>
  <w:footnote w:id="50">
    <w:p w14:paraId="27A99535" w14:textId="71EA43A5"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r>
      <w:r w:rsidR="007B40BE">
        <w:rPr>
          <w:lang w:val="en-IE"/>
        </w:rPr>
        <w:t xml:space="preserve">Figure 4, </w:t>
      </w:r>
      <w:r w:rsidRPr="00844D90">
        <w:rPr>
          <w:lang w:val="en-IE"/>
        </w:rPr>
        <w:t>2026 EU Justice Scoreboard.</w:t>
      </w:r>
    </w:p>
  </w:footnote>
  <w:footnote w:id="51">
    <w:p w14:paraId="2FCDC9C7" w14:textId="0B615FB8"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r>
      <w:r w:rsidR="007B40BE">
        <w:rPr>
          <w:lang w:val="en-IE"/>
        </w:rPr>
        <w:t xml:space="preserve">Figure 6, </w:t>
      </w:r>
      <w:r w:rsidRPr="00844D90">
        <w:rPr>
          <w:lang w:val="en-IE"/>
        </w:rPr>
        <w:t>2026 EU Justice Scoreboard.</w:t>
      </w:r>
    </w:p>
  </w:footnote>
  <w:footnote w:id="52">
    <w:p w14:paraId="04C2A1A0" w14:textId="04A29500"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r>
      <w:r w:rsidR="007B40BE">
        <w:rPr>
          <w:lang w:val="en-IE"/>
        </w:rPr>
        <w:t xml:space="preserve">Figure 7, </w:t>
      </w:r>
      <w:r w:rsidRPr="00844D90">
        <w:rPr>
          <w:lang w:val="en-IE"/>
        </w:rPr>
        <w:t>2026 EU Justice Scoreboard.</w:t>
      </w:r>
    </w:p>
  </w:footnote>
  <w:footnote w:id="53">
    <w:p w14:paraId="39BF31CB" w14:textId="39815658"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r>
      <w:r w:rsidR="007B40BE">
        <w:rPr>
          <w:lang w:val="en-IE"/>
        </w:rPr>
        <w:t xml:space="preserve">Figure 5, </w:t>
      </w:r>
      <w:r w:rsidRPr="00844D90">
        <w:rPr>
          <w:lang w:val="en-IE"/>
        </w:rPr>
        <w:t>2026 EU Justice Scoreboard.</w:t>
      </w:r>
    </w:p>
  </w:footnote>
  <w:footnote w:id="54">
    <w:p w14:paraId="76E61B33" w14:textId="3BEA72CB"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r>
      <w:r w:rsidR="007B40BE">
        <w:rPr>
          <w:lang w:val="en-IE"/>
        </w:rPr>
        <w:t xml:space="preserve">Figure 9, </w:t>
      </w:r>
      <w:r w:rsidRPr="00844D90">
        <w:rPr>
          <w:lang w:val="en-IE"/>
        </w:rPr>
        <w:t>2026 EU Justice Scoreboard.</w:t>
      </w:r>
    </w:p>
  </w:footnote>
  <w:footnote w:id="55">
    <w:p w14:paraId="74AE674A" w14:textId="7E04C483"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r>
      <w:r w:rsidR="007B40BE">
        <w:rPr>
          <w:lang w:val="en-IE"/>
        </w:rPr>
        <w:t xml:space="preserve">Figure 11, </w:t>
      </w:r>
      <w:r w:rsidRPr="00844D90">
        <w:rPr>
          <w:lang w:val="en-IE"/>
        </w:rPr>
        <w:t>2026 EU Justice Scoreboard.</w:t>
      </w:r>
    </w:p>
  </w:footnote>
  <w:footnote w:id="56">
    <w:p w14:paraId="61BD7426" w14:textId="74CFE86F"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r>
      <w:r w:rsidR="00177918">
        <w:rPr>
          <w:lang w:val="en-IE"/>
        </w:rPr>
        <w:t xml:space="preserve">Figure 10, </w:t>
      </w:r>
      <w:r w:rsidRPr="00844D90">
        <w:rPr>
          <w:lang w:val="en-IE"/>
        </w:rPr>
        <w:t>2026 EU Justice Scoreboard.</w:t>
      </w:r>
    </w:p>
  </w:footnote>
  <w:footnote w:id="57">
    <w:p w14:paraId="3C1DAFCB" w14:textId="6753396B"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Council for the Judiciary (2026</w:t>
      </w:r>
      <w:r w:rsidR="00844D24">
        <w:rPr>
          <w:lang w:val="en-IE"/>
        </w:rPr>
        <w:t>b</w:t>
      </w:r>
      <w:r w:rsidRPr="00844D90">
        <w:rPr>
          <w:lang w:val="en-IE"/>
        </w:rPr>
        <w:t xml:space="preserve">), p. 26; European Association for Judges (2026), p. 39. On 20 May 2026, as part of its annual accountability audit, the Court of Audit criticised the lack of improvement in case processing times, Court of Audit (2026). </w:t>
      </w:r>
    </w:p>
  </w:footnote>
  <w:footnote w:id="58">
    <w:p w14:paraId="59EDDE5A" w14:textId="77777777"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The level of perceived corruption is categorised as follows: low (the perception among experts and business executives of public sector corruption scores above 79); relatively low (scores between 79-60), relatively high (scores between 59-50), high (scores below 50).</w:t>
      </w:r>
    </w:p>
  </w:footnote>
  <w:footnote w:id="59">
    <w:p w14:paraId="15781A35" w14:textId="77777777"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In 2021, the score was 82 while in 2025, the score is 78. The score significantly increases/decreases when it changes more than five points; improves/deteriorates (changes between 4-5 points); is relatively stable (changes from 1-3 points) in the last five years.</w:t>
      </w:r>
    </w:p>
  </w:footnote>
  <w:footnote w:id="60">
    <w:p w14:paraId="3B92323B" w14:textId="0699BE44"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Data from Special Eurobarometer 5</w:t>
      </w:r>
      <w:r w:rsidR="00DF2926">
        <w:rPr>
          <w:lang w:val="en-IE"/>
        </w:rPr>
        <w:t>73</w:t>
      </w:r>
      <w:r w:rsidRPr="00844D90">
        <w:rPr>
          <w:lang w:val="en-IE"/>
        </w:rPr>
        <w:t xml:space="preserve"> (202</w:t>
      </w:r>
      <w:r w:rsidR="00DF2926">
        <w:rPr>
          <w:lang w:val="en-IE"/>
        </w:rPr>
        <w:t>6</w:t>
      </w:r>
      <w:r w:rsidRPr="00844D90">
        <w:rPr>
          <w:lang w:val="en-IE"/>
        </w:rPr>
        <w:t>) and Flash Eurobarometer 5</w:t>
      </w:r>
      <w:r w:rsidR="00801000">
        <w:rPr>
          <w:lang w:val="en-IE"/>
        </w:rPr>
        <w:t>82</w:t>
      </w:r>
      <w:r w:rsidRPr="00844D90">
        <w:rPr>
          <w:lang w:val="en-IE"/>
        </w:rPr>
        <w:t xml:space="preserve"> (202</w:t>
      </w:r>
      <w:r w:rsidR="00801000">
        <w:rPr>
          <w:lang w:val="en-IE"/>
        </w:rPr>
        <w:t>6</w:t>
      </w:r>
      <w:r w:rsidRPr="00844D90">
        <w:rPr>
          <w:lang w:val="en-IE"/>
        </w:rPr>
        <w:t>).</w:t>
      </w:r>
    </w:p>
  </w:footnote>
  <w:footnote w:id="61">
    <w:p w14:paraId="729DC624" w14:textId="11F30224" w:rsidR="00165CC4" w:rsidRPr="00844D90" w:rsidRDefault="00165CC4" w:rsidP="00165CC4">
      <w:pPr>
        <w:pStyle w:val="FootnoteText"/>
        <w:rPr>
          <w:lang w:val="en-IE"/>
        </w:rPr>
      </w:pPr>
      <w:r w:rsidRPr="00844D90">
        <w:rPr>
          <w:rStyle w:val="FootnoteReference"/>
          <w:lang w:val="en-IE"/>
        </w:rPr>
        <w:footnoteRef/>
      </w:r>
      <w:r w:rsidR="003F5EAF">
        <w:rPr>
          <w:lang w:val="en-IE"/>
        </w:rPr>
        <w:t xml:space="preserve"> </w:t>
      </w:r>
      <w:r w:rsidRPr="00844D90">
        <w:rPr>
          <w:lang w:val="en-IE"/>
        </w:rPr>
        <w:tab/>
        <w:t>Addressing the main vulnerabilities (as identified through the national risk assessment), strengthening governmental processes and systems, promoting preventive measures in the private sector and ensuring an efficient criminal justice response. 2025 Rule of Law Report, Netherlands, p. 7.</w:t>
      </w:r>
    </w:p>
  </w:footnote>
  <w:footnote w:id="62">
    <w:p w14:paraId="29C74293" w14:textId="05149D5B" w:rsidR="00165CC4" w:rsidRPr="00844D90" w:rsidRDefault="00165CC4" w:rsidP="00165CC4">
      <w:pPr>
        <w:pStyle w:val="FootnoteText"/>
        <w:rPr>
          <w:lang w:val="en-IE"/>
        </w:rPr>
      </w:pPr>
      <w:r w:rsidRPr="00844D90">
        <w:rPr>
          <w:rStyle w:val="FootnoteReference"/>
          <w:lang w:val="en-IE"/>
        </w:rPr>
        <w:footnoteRef/>
      </w:r>
      <w:r w:rsidRPr="00844D90">
        <w:rPr>
          <w:lang w:val="en-IE"/>
        </w:rPr>
        <w:tab/>
        <w:t>Such as intensive consultations with law enforcement and prosecution. Public Prosecution Service (2026)</w:t>
      </w:r>
      <w:r w:rsidR="00495E85">
        <w:rPr>
          <w:lang w:val="en-IE"/>
        </w:rPr>
        <w:t xml:space="preserve">, </w:t>
      </w:r>
      <w:r w:rsidR="004D4320">
        <w:rPr>
          <w:lang w:val="en-IE"/>
        </w:rPr>
        <w:t xml:space="preserve">additional </w:t>
      </w:r>
      <w:r w:rsidR="00495E85">
        <w:rPr>
          <w:lang w:val="en-IE"/>
        </w:rPr>
        <w:t>written input</w:t>
      </w:r>
      <w:r w:rsidR="00801000">
        <w:rPr>
          <w:lang w:val="en-IE"/>
        </w:rPr>
        <w:t xml:space="preserve">, p. </w:t>
      </w:r>
      <w:r w:rsidR="00D26DB4">
        <w:rPr>
          <w:lang w:val="en-IE"/>
        </w:rPr>
        <w:t>2</w:t>
      </w:r>
      <w:r w:rsidRPr="00844D90">
        <w:rPr>
          <w:lang w:val="en-IE"/>
        </w:rPr>
        <w:t xml:space="preserve">. </w:t>
      </w:r>
    </w:p>
  </w:footnote>
  <w:footnote w:id="63">
    <w:p w14:paraId="5C51BFAB" w14:textId="429418F7"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Netherland</w:t>
      </w:r>
      <w:r w:rsidR="00495E85">
        <w:rPr>
          <w:lang w:val="en-IE"/>
        </w:rPr>
        <w:t>s</w:t>
      </w:r>
      <w:r w:rsidRPr="00844D90">
        <w:rPr>
          <w:lang w:val="en-IE"/>
        </w:rPr>
        <w:t xml:space="preserve"> Government (2026), additional written input. See also Research and Data Centre WODC (2026) and Strategic Knowledge Centre on Subversive Crime SKC (2026). </w:t>
      </w:r>
    </w:p>
  </w:footnote>
  <w:footnote w:id="64">
    <w:p w14:paraId="4732DAC9" w14:textId="77777777"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r>
      <w:r w:rsidRPr="00844D90">
        <w:rPr>
          <w:szCs w:val="24"/>
          <w:lang w:val="en-IE"/>
        </w:rPr>
        <w:t>NJCM, NHC, TI-NL, FPU, RNW (2026)</w:t>
      </w:r>
      <w:r w:rsidRPr="00844D90">
        <w:rPr>
          <w:lang w:val="en-IE"/>
        </w:rPr>
        <w:t>, written input, pp. 3-4 and p. 10; Civil Liberties Union for Europe (2026), p. 592, p. 607.</w:t>
      </w:r>
    </w:p>
  </w:footnote>
  <w:footnote w:id="65">
    <w:p w14:paraId="05003ECB" w14:textId="77777777"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2025 Rule of Law Report, Netherlands, pp. 7-8.</w:t>
      </w:r>
    </w:p>
  </w:footnote>
  <w:footnote w:id="66">
    <w:p w14:paraId="7575A931" w14:textId="77777777"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r>
      <w:r w:rsidRPr="00844D90">
        <w:rPr>
          <w:szCs w:val="24"/>
          <w:lang w:val="en-IE"/>
        </w:rPr>
        <w:t>NJCM, NHC, TI-NL, FPU, RNW (2026)</w:t>
      </w:r>
      <w:r w:rsidRPr="00844D90">
        <w:rPr>
          <w:lang w:val="en-IE"/>
        </w:rPr>
        <w:t>, written input, p. 11. Ensuring the criminalisation of “trading in influence” is a long-standing objective of civil society organisations, on which no action has been taken so far. 2022 Rule of Law report, Netherlands, p. 9.</w:t>
      </w:r>
    </w:p>
  </w:footnote>
  <w:footnote w:id="67">
    <w:p w14:paraId="3DE8A686" w14:textId="77777777"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Directive 2026/1021 on combatting corruption introduces an obligatory criminalisation of trading in influence (</w:t>
      </w:r>
      <w:r>
        <w:rPr>
          <w:lang w:val="en-IE"/>
        </w:rPr>
        <w:t>Article</w:t>
      </w:r>
      <w:r w:rsidRPr="00844D90">
        <w:rPr>
          <w:lang w:val="en-IE"/>
        </w:rPr>
        <w:t xml:space="preserve"> 6). The Directive entered into force on 31 May 2026 and has a two-year transposition deadline for most of its provisions. Netherlands Government (2026), additional written input.</w:t>
      </w:r>
    </w:p>
  </w:footnote>
  <w:footnote w:id="68">
    <w:p w14:paraId="214947E9" w14:textId="77777777"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Netherlands Government (2026), written input, p. 8, and Council of State (2025a).</w:t>
      </w:r>
    </w:p>
  </w:footnote>
  <w:footnote w:id="69">
    <w:p w14:paraId="13587855" w14:textId="59D4A017"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 xml:space="preserve">The </w:t>
      </w:r>
      <w:r w:rsidR="005320B5">
        <w:rPr>
          <w:lang w:val="en-IE"/>
        </w:rPr>
        <w:t xml:space="preserve">draft </w:t>
      </w:r>
      <w:r w:rsidRPr="00844D90">
        <w:rPr>
          <w:lang w:val="en-IE"/>
        </w:rPr>
        <w:t xml:space="preserve">legislation concerns a change of both the constitution and the law </w:t>
      </w:r>
      <w:r w:rsidR="00766CD8">
        <w:rPr>
          <w:lang w:val="en-IE"/>
        </w:rPr>
        <w:t>and would</w:t>
      </w:r>
      <w:r w:rsidR="00766CD8" w:rsidRPr="00844D90">
        <w:rPr>
          <w:lang w:val="en-IE"/>
        </w:rPr>
        <w:t xml:space="preserve"> </w:t>
      </w:r>
      <w:r w:rsidRPr="00844D90">
        <w:rPr>
          <w:lang w:val="en-IE"/>
        </w:rPr>
        <w:t xml:space="preserve">ensure </w:t>
      </w:r>
      <w:r w:rsidR="00766CD8">
        <w:rPr>
          <w:lang w:val="en-IE"/>
        </w:rPr>
        <w:t xml:space="preserve">that </w:t>
      </w:r>
      <w:r w:rsidRPr="00844D90">
        <w:rPr>
          <w:lang w:val="en-IE"/>
        </w:rPr>
        <w:t xml:space="preserve">the prosecution of members of parliament and ministers is conducted with greater independence and led by the prosecutor general. See also 2025 Rule of Law Report, pp. 7-8. </w:t>
      </w:r>
    </w:p>
  </w:footnote>
  <w:footnote w:id="70">
    <w:p w14:paraId="440D21AE" w14:textId="77777777"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 xml:space="preserve">Netherlands Government (2026), written input, p. 8. </w:t>
      </w:r>
    </w:p>
  </w:footnote>
  <w:footnote w:id="71">
    <w:p w14:paraId="46D1F105" w14:textId="68974DE7" w:rsidR="00165CC4" w:rsidRPr="00844D90" w:rsidRDefault="00165CC4" w:rsidP="00165CC4">
      <w:pPr>
        <w:pStyle w:val="FootnoteText"/>
        <w:rPr>
          <w:lang w:val="en-IE"/>
        </w:rPr>
      </w:pPr>
      <w:r w:rsidRPr="00844D90">
        <w:rPr>
          <w:rStyle w:val="FootnoteReference"/>
          <w:lang w:val="en-IE"/>
        </w:rPr>
        <w:footnoteRef/>
      </w:r>
      <w:r w:rsidRPr="00844D90">
        <w:rPr>
          <w:lang w:val="en-IE"/>
        </w:rPr>
        <w:tab/>
        <w:t xml:space="preserve">Country visit Netherlands, Public Prosecution Service, FIOD and </w:t>
      </w:r>
      <w:r w:rsidR="0052158A">
        <w:rPr>
          <w:lang w:val="en-IE"/>
        </w:rPr>
        <w:t>Rijksrecherche</w:t>
      </w:r>
      <w:r w:rsidRPr="00844D90">
        <w:rPr>
          <w:lang w:val="en-IE"/>
        </w:rPr>
        <w:t xml:space="preserve">; Netherlands Government (2026), written input, p. 9; 2025 Rule of Law Report, Netherlands, p. 8. </w:t>
      </w:r>
    </w:p>
  </w:footnote>
  <w:footnote w:id="72">
    <w:p w14:paraId="7F181A5D" w14:textId="3D231755" w:rsidR="00165CC4" w:rsidRPr="00844D90" w:rsidRDefault="00165CC4" w:rsidP="00165CC4">
      <w:pPr>
        <w:pStyle w:val="FootnoteText"/>
        <w:rPr>
          <w:lang w:val="en-IE"/>
        </w:rPr>
      </w:pPr>
      <w:r w:rsidRPr="00844D90">
        <w:rPr>
          <w:rStyle w:val="FootnoteReference"/>
          <w:lang w:val="en-IE"/>
        </w:rPr>
        <w:footnoteRef/>
      </w:r>
      <w:r w:rsidRPr="00844D90">
        <w:rPr>
          <w:lang w:val="en-IE"/>
        </w:rPr>
        <w:tab/>
        <w:t xml:space="preserve">Country visit Netherlands, Public Prosecution Service, FIOD and </w:t>
      </w:r>
      <w:r w:rsidR="0052158A">
        <w:rPr>
          <w:lang w:val="en-IE"/>
        </w:rPr>
        <w:t>Rijksrecherche</w:t>
      </w:r>
      <w:r w:rsidRPr="00844D90">
        <w:rPr>
          <w:lang w:val="en-IE"/>
        </w:rPr>
        <w:t xml:space="preserve">; 2025 Rule of Law Report, Netherlands, p. 8. </w:t>
      </w:r>
    </w:p>
  </w:footnote>
  <w:footnote w:id="73">
    <w:p w14:paraId="5AB861E9" w14:textId="77777777"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Only data linked to bribery cases. There are no data available on the number of investigations.</w:t>
      </w:r>
    </w:p>
  </w:footnote>
  <w:footnote w:id="74">
    <w:p w14:paraId="6E9118DC" w14:textId="77777777"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 xml:space="preserve">This concerns cases </w:t>
      </w:r>
      <w:r w:rsidRPr="00844D90">
        <w:rPr>
          <w:rFonts w:eastAsia="Calibri"/>
          <w:noProof/>
          <w:lang w:val="en-IE"/>
        </w:rPr>
        <w:t>in which breaches of one or several corruption crimes have been proven.</w:t>
      </w:r>
      <w:r w:rsidRPr="00844D90">
        <w:rPr>
          <w:lang w:val="en-IE"/>
        </w:rPr>
        <w:t xml:space="preserve"> The number on final convictions only refers to the number of cases in which convictions were handed down, not to the number of defendants convicted in each case. Netherlands Government (2026), written input, p.</w:t>
      </w:r>
      <w:r>
        <w:rPr>
          <w:lang w:val="en-IE"/>
        </w:rPr>
        <w:t xml:space="preserve"> </w:t>
      </w:r>
      <w:r w:rsidRPr="00844D90">
        <w:rPr>
          <w:lang w:val="en-IE"/>
        </w:rPr>
        <w:t>8 and statistical annex.</w:t>
      </w:r>
    </w:p>
  </w:footnote>
  <w:footnote w:id="75">
    <w:p w14:paraId="4F739B5E" w14:textId="77777777"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EPPO (2026), p. 43.</w:t>
      </w:r>
    </w:p>
  </w:footnote>
  <w:footnote w:id="76">
    <w:p w14:paraId="211C5146" w14:textId="32A5CF1C" w:rsidR="00165CC4" w:rsidRPr="00844D90" w:rsidRDefault="00165CC4" w:rsidP="00165CC4">
      <w:pPr>
        <w:pStyle w:val="FootnoteText"/>
        <w:rPr>
          <w:lang w:val="en-IE"/>
        </w:rPr>
      </w:pPr>
      <w:r w:rsidRPr="00844D90">
        <w:rPr>
          <w:rStyle w:val="FootnoteReference"/>
          <w:lang w:val="en-IE"/>
        </w:rPr>
        <w:footnoteRef/>
      </w:r>
      <w:r w:rsidR="003F5EAF">
        <w:rPr>
          <w:lang w:val="en-IE"/>
        </w:rPr>
        <w:t xml:space="preserve"> </w:t>
      </w:r>
      <w:r w:rsidRPr="00844D90">
        <w:rPr>
          <w:lang w:val="en-IE"/>
        </w:rPr>
        <w:tab/>
        <w:t>Public Prosecution Service (2026) and Netherlands Government (2026), additional written input. Concretely, the right of the defence to claim that large datasets (or a substantial part thereof) fall under the professional legal privilege of lawyers and as such cannot be used has been flagged as an issue by investigators, the Public Prosecution Service and civil society. See also 2024 Rule of Law Report, Netherlands, p. 15.</w:t>
      </w:r>
    </w:p>
  </w:footnote>
  <w:footnote w:id="77">
    <w:p w14:paraId="5666A207" w14:textId="1E072936" w:rsidR="00165CC4" w:rsidRPr="00844D90" w:rsidRDefault="00165CC4" w:rsidP="00165CC4">
      <w:pPr>
        <w:pStyle w:val="FootnoteText"/>
        <w:rPr>
          <w:lang w:val="en-IE"/>
        </w:rPr>
      </w:pPr>
      <w:r w:rsidRPr="00844D90">
        <w:rPr>
          <w:rStyle w:val="FootnoteReference"/>
          <w:lang w:val="en-IE"/>
        </w:rPr>
        <w:footnoteRef/>
      </w:r>
      <w:r w:rsidR="003F5EAF">
        <w:rPr>
          <w:lang w:val="en-IE"/>
        </w:rPr>
        <w:t xml:space="preserve"> </w:t>
      </w:r>
      <w:r w:rsidRPr="00844D90">
        <w:rPr>
          <w:lang w:val="en-IE"/>
        </w:rPr>
        <w:tab/>
        <w:t xml:space="preserve">Country visit Netherlands, Public Prosecution Service, FIOD and </w:t>
      </w:r>
      <w:r w:rsidR="00812A28">
        <w:rPr>
          <w:rFonts w:eastAsia="Calibri" w:cstheme="minorBidi"/>
          <w:i/>
          <w:iCs/>
          <w:noProof/>
          <w:szCs w:val="22"/>
          <w:lang w:val="en-IE" w:eastAsia="en-US"/>
        </w:rPr>
        <w:t>Rijksrecherche</w:t>
      </w:r>
      <w:r w:rsidR="00812A28" w:rsidRPr="00165CC4">
        <w:rPr>
          <w:rFonts w:eastAsia="Calibri" w:cstheme="minorBidi"/>
          <w:noProof/>
          <w:szCs w:val="22"/>
          <w:lang w:val="en-IE" w:eastAsia="en-US"/>
        </w:rPr>
        <w:t xml:space="preserve"> </w:t>
      </w:r>
      <w:r w:rsidRPr="00844D90">
        <w:rPr>
          <w:lang w:val="en-IE"/>
        </w:rPr>
        <w:t>and Public Prosecution Service (2026)</w:t>
      </w:r>
      <w:r w:rsidR="00BD2922">
        <w:rPr>
          <w:lang w:val="en-IE"/>
        </w:rPr>
        <w:t>, additional written input</w:t>
      </w:r>
      <w:r w:rsidR="000C609A">
        <w:rPr>
          <w:lang w:val="en-IE"/>
        </w:rPr>
        <w:t>.</w:t>
      </w:r>
      <w:r w:rsidRPr="00844D90">
        <w:rPr>
          <w:lang w:val="en-IE"/>
        </w:rPr>
        <w:t xml:space="preserve"> </w:t>
      </w:r>
    </w:p>
  </w:footnote>
  <w:footnote w:id="78">
    <w:p w14:paraId="3A62B7D7" w14:textId="278EE512"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000C609A">
        <w:rPr>
          <w:lang w:val="en-IE"/>
        </w:rPr>
        <w:tab/>
      </w:r>
      <w:r w:rsidRPr="00844D90">
        <w:rPr>
          <w:lang w:val="en-IE"/>
        </w:rPr>
        <w:t xml:space="preserve">Country visit Netherlands, Public Prosecution Service, FIOD and </w:t>
      </w:r>
      <w:r w:rsidR="00812A28">
        <w:rPr>
          <w:rFonts w:eastAsia="Calibri" w:cstheme="minorBidi"/>
          <w:i/>
          <w:iCs/>
          <w:noProof/>
          <w:szCs w:val="22"/>
          <w:lang w:val="en-IE" w:eastAsia="en-US"/>
        </w:rPr>
        <w:t>Rijksrecherche</w:t>
      </w:r>
      <w:r w:rsidRPr="00844D90">
        <w:rPr>
          <w:lang w:val="en-IE"/>
        </w:rPr>
        <w:t xml:space="preserve">. Nonetheless, such cases remain complex and lengthy amid concerns of stakeholders over effective enforcement. </w:t>
      </w:r>
      <w:r w:rsidR="000C609A">
        <w:rPr>
          <w:lang w:val="en-IE"/>
        </w:rPr>
        <w:t xml:space="preserve">See </w:t>
      </w:r>
      <w:r w:rsidRPr="00844D90">
        <w:rPr>
          <w:szCs w:val="24"/>
          <w:lang w:val="en-IE"/>
        </w:rPr>
        <w:t>NJCM, NHC, TI-NL, FPU, RNW</w:t>
      </w:r>
      <w:r w:rsidRPr="00844D90">
        <w:rPr>
          <w:lang w:val="en-IE"/>
        </w:rPr>
        <w:t xml:space="preserve"> (2026), written input, pp. 16-17</w:t>
      </w:r>
      <w:r w:rsidR="000C609A">
        <w:rPr>
          <w:lang w:val="en-IE"/>
        </w:rPr>
        <w:t>, a</w:t>
      </w:r>
      <w:r w:rsidRPr="00844D90">
        <w:rPr>
          <w:lang w:val="en-IE"/>
        </w:rPr>
        <w:t>s also reported in the 2025 Rule of Law Report, Netherlands, p. 8.</w:t>
      </w:r>
    </w:p>
  </w:footnote>
  <w:footnote w:id="79">
    <w:p w14:paraId="78339003" w14:textId="13C4AD66" w:rsidR="00165CC4" w:rsidRPr="00844D90" w:rsidDel="00F320F8" w:rsidRDefault="00165CC4" w:rsidP="00165CC4">
      <w:pPr>
        <w:pStyle w:val="FootnoteText"/>
        <w:rPr>
          <w:lang w:val="en-IE"/>
        </w:rPr>
      </w:pPr>
      <w:r w:rsidRPr="00844D90" w:rsidDel="00F320F8">
        <w:rPr>
          <w:rStyle w:val="FootnoteReference"/>
          <w:lang w:val="en-IE"/>
        </w:rPr>
        <w:footnoteRef/>
      </w:r>
      <w:r w:rsidR="003F5EAF">
        <w:rPr>
          <w:lang w:val="en-IE"/>
        </w:rPr>
        <w:t xml:space="preserve"> </w:t>
      </w:r>
      <w:r w:rsidRPr="00844D90" w:rsidDel="00F320F8">
        <w:rPr>
          <w:lang w:val="en-IE"/>
        </w:rPr>
        <w:tab/>
        <w:t>Public Prosecution Service (2026</w:t>
      </w:r>
      <w:r w:rsidR="000C609A">
        <w:rPr>
          <w:lang w:val="en-IE"/>
        </w:rPr>
        <w:t>a</w:t>
      </w:r>
      <w:r w:rsidRPr="00844D90" w:rsidDel="00F320F8">
        <w:rPr>
          <w:lang w:val="en-IE"/>
        </w:rPr>
        <w:t>), chapter 7.</w:t>
      </w:r>
    </w:p>
  </w:footnote>
  <w:footnote w:id="80">
    <w:p w14:paraId="12021D16" w14:textId="7B3CDF0B" w:rsidR="00686F21" w:rsidRPr="0059639A" w:rsidRDefault="00686F21">
      <w:pPr>
        <w:pStyle w:val="FootnoteText"/>
        <w:rPr>
          <w:lang w:val="en-IE"/>
        </w:rPr>
      </w:pPr>
      <w:r>
        <w:rPr>
          <w:rStyle w:val="FootnoteReference"/>
        </w:rPr>
        <w:footnoteRef/>
      </w:r>
      <w:r w:rsidR="003F5EAF">
        <w:t xml:space="preserve"> </w:t>
      </w:r>
      <w:r>
        <w:tab/>
      </w:r>
      <w:r w:rsidR="00726F33" w:rsidRPr="00844D90" w:rsidDel="00F320F8">
        <w:rPr>
          <w:szCs w:val="24"/>
          <w:lang w:val="en-IE"/>
        </w:rPr>
        <w:t xml:space="preserve">NJCM, NHC, TI-NL, FPU, RNW </w:t>
      </w:r>
      <w:r w:rsidR="00726F33" w:rsidRPr="00844D90" w:rsidDel="00F320F8">
        <w:rPr>
          <w:lang w:val="en-IE"/>
        </w:rPr>
        <w:t xml:space="preserve">(2026), written input, p. 15 </w:t>
      </w:r>
    </w:p>
  </w:footnote>
  <w:footnote w:id="81">
    <w:p w14:paraId="6D28CC48" w14:textId="753EFFC5" w:rsidR="00165CC4" w:rsidRPr="00844D90" w:rsidDel="00F320F8" w:rsidRDefault="00165CC4" w:rsidP="00165CC4">
      <w:pPr>
        <w:pStyle w:val="FootnoteText"/>
        <w:rPr>
          <w:lang w:val="en-IE"/>
        </w:rPr>
      </w:pPr>
      <w:r w:rsidRPr="00844D90" w:rsidDel="00F320F8">
        <w:rPr>
          <w:rStyle w:val="FootnoteReference"/>
          <w:lang w:val="en-IE"/>
        </w:rPr>
        <w:footnoteRef/>
      </w:r>
      <w:r w:rsidRPr="00844D90" w:rsidDel="00F320F8">
        <w:rPr>
          <w:lang w:val="en-IE"/>
        </w:rPr>
        <w:t xml:space="preserve"> </w:t>
      </w:r>
      <w:r w:rsidRPr="00844D90" w:rsidDel="00F320F8">
        <w:rPr>
          <w:lang w:val="en-IE"/>
        </w:rPr>
        <w:tab/>
        <w:t xml:space="preserve">The programme </w:t>
      </w:r>
      <w:r w:rsidRPr="00844D90" w:rsidDel="00F320F8">
        <w:rPr>
          <w:rFonts w:eastAsia="Calibri"/>
          <w:noProof/>
          <w:lang w:val="en-IE"/>
        </w:rPr>
        <w:t>includes algorithmic risk analsyis.</w:t>
      </w:r>
      <w:r w:rsidRPr="00844D90" w:rsidDel="00F320F8">
        <w:rPr>
          <w:lang w:val="en-IE"/>
        </w:rPr>
        <w:t xml:space="preserve"> Problems on this topic relate to inadequately equipped IT systems which are not able to track the identity of persons accessing the specific data in an unauthorised manner. 2025 Rule of Law Report, Netherlands, p. 9 and Dutch Police (2026)</w:t>
      </w:r>
      <w:r w:rsidR="00CF1F66">
        <w:rPr>
          <w:lang w:val="en-IE"/>
        </w:rPr>
        <w:t>, written input</w:t>
      </w:r>
      <w:r w:rsidRPr="00844D90" w:rsidDel="00F320F8">
        <w:rPr>
          <w:lang w:val="en-IE"/>
        </w:rPr>
        <w:t xml:space="preserve">. </w:t>
      </w:r>
    </w:p>
  </w:footnote>
  <w:footnote w:id="82">
    <w:p w14:paraId="5131D679" w14:textId="2E4B84DA" w:rsidR="00165CC4" w:rsidRPr="00844D90" w:rsidDel="00F320F8" w:rsidRDefault="00165CC4" w:rsidP="00165CC4">
      <w:pPr>
        <w:pStyle w:val="FootnoteText"/>
        <w:rPr>
          <w:lang w:val="en-IE"/>
        </w:rPr>
      </w:pPr>
      <w:r w:rsidRPr="00844D90" w:rsidDel="00F320F8">
        <w:rPr>
          <w:rStyle w:val="FootnoteReference"/>
          <w:lang w:val="en-IE"/>
        </w:rPr>
        <w:footnoteRef/>
      </w:r>
      <w:r w:rsidRPr="00844D90" w:rsidDel="00F320F8">
        <w:rPr>
          <w:lang w:val="en-IE"/>
        </w:rPr>
        <w:t xml:space="preserve"> </w:t>
      </w:r>
      <w:r w:rsidRPr="00844D90" w:rsidDel="00F320F8">
        <w:rPr>
          <w:lang w:val="en-IE"/>
        </w:rPr>
        <w:tab/>
        <w:t>Public Prosecution Service (2026</w:t>
      </w:r>
      <w:r w:rsidR="00227BB6">
        <w:rPr>
          <w:lang w:val="en-IE"/>
        </w:rPr>
        <w:t>a</w:t>
      </w:r>
      <w:r w:rsidRPr="00844D90" w:rsidDel="00F320F8">
        <w:rPr>
          <w:lang w:val="en-IE"/>
        </w:rPr>
        <w:t xml:space="preserve">), chapter 7. </w:t>
      </w:r>
    </w:p>
  </w:footnote>
  <w:footnote w:id="83">
    <w:p w14:paraId="7FFDC495" w14:textId="3DEB3042" w:rsidR="00165CC4" w:rsidRPr="00844D90" w:rsidDel="00F320F8" w:rsidRDefault="00165CC4" w:rsidP="00165CC4">
      <w:pPr>
        <w:pStyle w:val="FootnoteText"/>
        <w:rPr>
          <w:lang w:val="en-IE"/>
        </w:rPr>
      </w:pPr>
      <w:r w:rsidRPr="00844D90" w:rsidDel="00F320F8">
        <w:rPr>
          <w:rStyle w:val="FootnoteReference"/>
          <w:lang w:val="en-IE"/>
        </w:rPr>
        <w:footnoteRef/>
      </w:r>
      <w:r w:rsidRPr="00844D90" w:rsidDel="00F320F8">
        <w:rPr>
          <w:lang w:val="en-IE"/>
        </w:rPr>
        <w:t xml:space="preserve"> </w:t>
      </w:r>
      <w:r w:rsidRPr="00844D90" w:rsidDel="00F320F8">
        <w:rPr>
          <w:lang w:val="en-IE"/>
        </w:rPr>
        <w:tab/>
        <w:t xml:space="preserve">Country visit Netherlands, Public Prosecution Service, FIOD and </w:t>
      </w:r>
      <w:r w:rsidR="00812A28">
        <w:rPr>
          <w:rFonts w:eastAsia="Calibri" w:cstheme="minorBidi"/>
          <w:i/>
          <w:iCs/>
          <w:noProof/>
          <w:szCs w:val="22"/>
          <w:lang w:val="en-IE" w:eastAsia="en-US"/>
        </w:rPr>
        <w:t>Rijksrecherche</w:t>
      </w:r>
    </w:p>
  </w:footnote>
  <w:footnote w:id="84">
    <w:p w14:paraId="456B8629" w14:textId="6945A3A7" w:rsidR="00165CC4" w:rsidRPr="00844D90" w:rsidRDefault="00165CC4" w:rsidP="00165CC4">
      <w:pPr>
        <w:pStyle w:val="FootnoteText"/>
        <w:rPr>
          <w:lang w:val="en-IE"/>
        </w:rPr>
      </w:pPr>
      <w:r w:rsidRPr="00844D90">
        <w:rPr>
          <w:rStyle w:val="FootnoteReference"/>
          <w:lang w:val="en-IE"/>
        </w:rPr>
        <w:footnoteRef/>
      </w:r>
      <w:r w:rsidR="003F5EAF">
        <w:rPr>
          <w:lang w:val="en-IE"/>
        </w:rPr>
        <w:t xml:space="preserve"> </w:t>
      </w:r>
      <w:r w:rsidRPr="00844D90">
        <w:rPr>
          <w:lang w:val="en-IE"/>
        </w:rPr>
        <w:tab/>
        <w:t>Netherlands Government (2026), written input, p. 13.</w:t>
      </w:r>
    </w:p>
  </w:footnote>
  <w:footnote w:id="85">
    <w:p w14:paraId="49069A73" w14:textId="2FA424D8" w:rsidR="00165CC4" w:rsidRPr="00844D90" w:rsidRDefault="00165CC4" w:rsidP="00165CC4">
      <w:pPr>
        <w:pStyle w:val="FootnoteText"/>
        <w:rPr>
          <w:lang w:val="en-IE"/>
        </w:rPr>
      </w:pPr>
      <w:r w:rsidRPr="00844D90">
        <w:rPr>
          <w:rStyle w:val="FootnoteReference"/>
          <w:lang w:val="en-IE"/>
        </w:rPr>
        <w:footnoteRef/>
      </w:r>
      <w:r w:rsidR="003F5EAF">
        <w:rPr>
          <w:lang w:val="en-IE"/>
        </w:rPr>
        <w:t xml:space="preserve"> </w:t>
      </w:r>
      <w:r w:rsidRPr="00844D90">
        <w:rPr>
          <w:lang w:val="en-IE"/>
        </w:rPr>
        <w:tab/>
        <w:t>Netherlands Government (2026), written input, p. 12.</w:t>
      </w:r>
    </w:p>
  </w:footnote>
  <w:footnote w:id="86">
    <w:p w14:paraId="1D601987" w14:textId="472650E1" w:rsidR="00165CC4" w:rsidRPr="00844D90" w:rsidRDefault="00165CC4" w:rsidP="00165CC4">
      <w:pPr>
        <w:pStyle w:val="FootnoteText"/>
        <w:rPr>
          <w:lang w:val="en-IE"/>
        </w:rPr>
      </w:pPr>
      <w:r w:rsidRPr="00844D90">
        <w:rPr>
          <w:rStyle w:val="FootnoteReference"/>
          <w:lang w:val="en-IE"/>
        </w:rPr>
        <w:footnoteRef/>
      </w:r>
      <w:r w:rsidR="003F5EAF">
        <w:rPr>
          <w:lang w:val="en-IE"/>
        </w:rPr>
        <w:t xml:space="preserve"> </w:t>
      </w:r>
      <w:r w:rsidRPr="00844D90">
        <w:rPr>
          <w:lang w:val="en-IE"/>
        </w:rPr>
        <w:tab/>
        <w:t>Country visit Netherlands, Court of Audit and 2025 Rule of Law Report, Netherlands, p. 9.</w:t>
      </w:r>
    </w:p>
  </w:footnote>
  <w:footnote w:id="87">
    <w:p w14:paraId="0AC00B2A" w14:textId="23F99C7C" w:rsidR="00165CC4" w:rsidRPr="00844D90" w:rsidRDefault="00165CC4" w:rsidP="00165CC4">
      <w:pPr>
        <w:pStyle w:val="FootnoteText"/>
        <w:rPr>
          <w:lang w:val="en-IE"/>
        </w:rPr>
      </w:pPr>
      <w:r w:rsidRPr="00844D90">
        <w:rPr>
          <w:rStyle w:val="FootnoteReference"/>
          <w:lang w:val="en-IE"/>
        </w:rPr>
        <w:footnoteRef/>
      </w:r>
      <w:r w:rsidR="003F5EAF">
        <w:rPr>
          <w:lang w:val="en-IE"/>
        </w:rPr>
        <w:t xml:space="preserve"> </w:t>
      </w:r>
      <w:r w:rsidRPr="00844D90">
        <w:rPr>
          <w:lang w:val="en-IE"/>
        </w:rPr>
        <w:tab/>
        <w:t>Netherlands Government (2026), written input, p. 12.</w:t>
      </w:r>
    </w:p>
  </w:footnote>
  <w:footnote w:id="88">
    <w:p w14:paraId="047909CD" w14:textId="39F5053B" w:rsidR="00165CC4" w:rsidRPr="00844D90" w:rsidRDefault="00165CC4" w:rsidP="00165CC4">
      <w:pPr>
        <w:pStyle w:val="FootnoteText"/>
        <w:rPr>
          <w:lang w:val="en-IE"/>
        </w:rPr>
      </w:pPr>
      <w:r w:rsidRPr="00844D90">
        <w:rPr>
          <w:rStyle w:val="FootnoteReference"/>
          <w:lang w:val="en-IE"/>
        </w:rPr>
        <w:footnoteRef/>
      </w:r>
      <w:r w:rsidR="003F5EAF">
        <w:rPr>
          <w:lang w:val="en-IE"/>
        </w:rPr>
        <w:t xml:space="preserve"> </w:t>
      </w:r>
      <w:r w:rsidRPr="00844D90">
        <w:rPr>
          <w:lang w:val="en-IE"/>
        </w:rPr>
        <w:tab/>
        <w:t>Netherlands Government (2026), additional written input.</w:t>
      </w:r>
    </w:p>
  </w:footnote>
  <w:footnote w:id="89">
    <w:p w14:paraId="3279B226" w14:textId="77777777"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 xml:space="preserve">GRECO (2025), recommendation xii, paras 46-51. </w:t>
      </w:r>
    </w:p>
  </w:footnote>
  <w:footnote w:id="90">
    <w:p w14:paraId="01B429E2" w14:textId="1B1FDE0C"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r>
      <w:r w:rsidRPr="00844D90">
        <w:rPr>
          <w:szCs w:val="18"/>
          <w:lang w:val="en-IE"/>
        </w:rPr>
        <w:t>Netherlands Government (2025</w:t>
      </w:r>
      <w:r w:rsidR="007D63C5">
        <w:rPr>
          <w:szCs w:val="18"/>
          <w:lang w:val="en-IE"/>
        </w:rPr>
        <w:t>a</w:t>
      </w:r>
      <w:r w:rsidRPr="00844D90">
        <w:rPr>
          <w:szCs w:val="18"/>
          <w:lang w:val="en-IE"/>
        </w:rPr>
        <w:t>).</w:t>
      </w:r>
    </w:p>
  </w:footnote>
  <w:footnote w:id="91">
    <w:p w14:paraId="77B780EA" w14:textId="77777777" w:rsidR="00165CC4" w:rsidRPr="00844D90" w:rsidRDefault="00165CC4" w:rsidP="00165CC4">
      <w:pPr>
        <w:pStyle w:val="FootnoteText"/>
        <w:rPr>
          <w:lang w:val="en-IE"/>
        </w:rPr>
      </w:pPr>
      <w:r w:rsidRPr="00844D90">
        <w:rPr>
          <w:rStyle w:val="FootnoteReference"/>
          <w:lang w:val="en-IE"/>
        </w:rPr>
        <w:footnoteRef/>
      </w:r>
      <w:r w:rsidRPr="00844D90">
        <w:rPr>
          <w:lang w:val="en-IE"/>
        </w:rPr>
        <w:tab/>
        <w:t xml:space="preserve">2025 Rule of Law Report, Netherlands, pp. 9-10. </w:t>
      </w:r>
    </w:p>
  </w:footnote>
  <w:footnote w:id="92">
    <w:p w14:paraId="55D98B98" w14:textId="77777777"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Government members can be requested to resign from office if they lose the confidence of a parliamentary majority. See 2024 Rule of Law Report, Netherlands, p. 16.</w:t>
      </w:r>
    </w:p>
  </w:footnote>
  <w:footnote w:id="93">
    <w:p w14:paraId="15CD1712" w14:textId="77777777"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 xml:space="preserve">The effectiveness of the Code of Conduct was criticised previously by GRECO, the Open State Foundation, and Transparency International. See 2025 Rule of Law Report, Netherlands, pp. 9-10. </w:t>
      </w:r>
    </w:p>
  </w:footnote>
  <w:footnote w:id="94">
    <w:p w14:paraId="77FAC0A3" w14:textId="77777777"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Netherlands Government (2026), written input, p. 12.</w:t>
      </w:r>
    </w:p>
  </w:footnote>
  <w:footnote w:id="95">
    <w:p w14:paraId="69BD28C5" w14:textId="2E1BF863" w:rsidR="00165CC4" w:rsidRPr="00844D90" w:rsidDel="00F40BCE" w:rsidRDefault="00165CC4" w:rsidP="00165CC4">
      <w:pPr>
        <w:pStyle w:val="FootnoteText"/>
        <w:rPr>
          <w:lang w:val="en-IE"/>
        </w:rPr>
      </w:pPr>
      <w:r w:rsidRPr="00844D90" w:rsidDel="00F40BCE">
        <w:rPr>
          <w:rStyle w:val="FootnoteReference"/>
          <w:lang w:val="en-IE"/>
        </w:rPr>
        <w:footnoteRef/>
      </w:r>
      <w:r w:rsidRPr="00844D90" w:rsidDel="00F40BCE">
        <w:rPr>
          <w:lang w:val="en-IE"/>
        </w:rPr>
        <w:t xml:space="preserve"> </w:t>
      </w:r>
      <w:r w:rsidRPr="00844D90" w:rsidDel="00F40BCE">
        <w:rPr>
          <w:lang w:val="en-IE"/>
        </w:rPr>
        <w:tab/>
      </w:r>
      <w:r w:rsidRPr="00844D90">
        <w:rPr>
          <w:lang w:val="en-IE"/>
        </w:rPr>
        <w:t xml:space="preserve">Stakeholders signalled in the past that over one third of MPs do not, or only insufficiently, declare their side jobs and interests and that rules are not enforced. According to civil society this is partly due to the fact that the College of Investigation of Integrity lacks sufficient enforcement powers. Country visit Netherlands, </w:t>
      </w:r>
      <w:r w:rsidR="004A7CFA" w:rsidRPr="004A7CFA">
        <w:rPr>
          <w:lang w:val="en-IE"/>
        </w:rPr>
        <w:t>NJCM, NHC, TI-NL, FPU, RNW</w:t>
      </w:r>
      <w:r w:rsidR="004A7CFA" w:rsidRPr="004A7CFA" w:rsidDel="004A7CFA">
        <w:rPr>
          <w:lang w:val="en-IE"/>
        </w:rPr>
        <w:t xml:space="preserve"> </w:t>
      </w:r>
      <w:r w:rsidRPr="00844D90">
        <w:rPr>
          <w:lang w:val="en-IE"/>
        </w:rPr>
        <w:t xml:space="preserve">and </w:t>
      </w:r>
      <w:r w:rsidRPr="00844D90" w:rsidDel="00F40BCE">
        <w:rPr>
          <w:lang w:val="en-IE"/>
        </w:rPr>
        <w:t xml:space="preserve">2025 Rule of Law Report, Netherlands, p. 10. </w:t>
      </w:r>
    </w:p>
  </w:footnote>
  <w:footnote w:id="96">
    <w:p w14:paraId="18D1FBA4" w14:textId="4C83BD77" w:rsidR="00165CC4" w:rsidRPr="00844D90" w:rsidRDefault="00165CC4" w:rsidP="00165CC4">
      <w:pPr>
        <w:pStyle w:val="FootnoteText"/>
        <w:rPr>
          <w:lang w:val="en-IE"/>
        </w:rPr>
      </w:pPr>
      <w:r w:rsidRPr="00844D90">
        <w:rPr>
          <w:rStyle w:val="FootnoteReference"/>
          <w:lang w:val="en-IE"/>
        </w:rPr>
        <w:footnoteRef/>
      </w:r>
      <w:r w:rsidR="00893CE1">
        <w:rPr>
          <w:lang w:val="en-IE"/>
        </w:rPr>
        <w:t xml:space="preserve"> </w:t>
      </w:r>
      <w:r w:rsidRPr="00844D90">
        <w:rPr>
          <w:lang w:val="en-IE"/>
        </w:rPr>
        <w:tab/>
        <w:t xml:space="preserve">One Member of Parliament was suspended for two weeks following an investigation of the College. In a number of other cases, the College reports that informing the Member of Parliament about a non-declaration generally induces them to immediately correct it. College of Investigation of Integrity (2026), pp. 4-5. </w:t>
      </w:r>
    </w:p>
  </w:footnote>
  <w:footnote w:id="97">
    <w:p w14:paraId="4AAF6F89" w14:textId="77777777"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In particular, the College feels rules concerning “statements harming the integrity of the Chamber” are unclear. College of Investigation of Integrity (2026), p. 3.</w:t>
      </w:r>
    </w:p>
  </w:footnote>
  <w:footnote w:id="98">
    <w:p w14:paraId="4756B402" w14:textId="75086F72" w:rsidR="00165CC4" w:rsidRPr="00844D90" w:rsidRDefault="00165CC4" w:rsidP="00165CC4">
      <w:pPr>
        <w:pStyle w:val="FootnoteText"/>
        <w:rPr>
          <w:lang w:val="en-IE"/>
        </w:rPr>
      </w:pPr>
      <w:r w:rsidRPr="00844D90">
        <w:rPr>
          <w:rStyle w:val="FootnoteReference"/>
          <w:lang w:val="en-IE"/>
        </w:rPr>
        <w:footnoteRef/>
      </w:r>
      <w:r w:rsidR="00893CE1">
        <w:rPr>
          <w:lang w:val="en-IE"/>
        </w:rPr>
        <w:t xml:space="preserve"> </w:t>
      </w:r>
      <w:r w:rsidRPr="00844D90">
        <w:rPr>
          <w:lang w:val="en-IE"/>
        </w:rPr>
        <w:tab/>
        <w:t>Notably, the College cannot initiate ex officio investigations into Member of Parliament’s asset declaration but only on the basis of complaints</w:t>
      </w:r>
      <w:r w:rsidR="002E4BFC">
        <w:rPr>
          <w:lang w:val="en-IE"/>
        </w:rPr>
        <w:t>,</w:t>
      </w:r>
      <w:r w:rsidRPr="00844D90">
        <w:rPr>
          <w:lang w:val="en-IE"/>
        </w:rPr>
        <w:t xml:space="preserve"> and the maximum sanction for non declaration cannot exceed two weeks of suspension. </w:t>
      </w:r>
      <w:r w:rsidRPr="00844D90">
        <w:rPr>
          <w:szCs w:val="24"/>
          <w:lang w:val="en-IE"/>
        </w:rPr>
        <w:t>NJCM, NHC, TI-NL, FPU, RNW (2026)</w:t>
      </w:r>
      <w:r w:rsidRPr="00844D90">
        <w:rPr>
          <w:lang w:val="en-IE"/>
        </w:rPr>
        <w:t>, written input, p. 12.</w:t>
      </w:r>
    </w:p>
  </w:footnote>
  <w:footnote w:id="99">
    <w:p w14:paraId="64449760" w14:textId="5FA853DC" w:rsidR="00165CC4" w:rsidRPr="00844D90" w:rsidRDefault="00165CC4" w:rsidP="00165CC4">
      <w:pPr>
        <w:pStyle w:val="FootnoteText"/>
        <w:rPr>
          <w:lang w:val="en-IE"/>
        </w:rPr>
      </w:pPr>
      <w:r w:rsidRPr="00844D90">
        <w:rPr>
          <w:rStyle w:val="FootnoteReference"/>
          <w:lang w:val="en-IE"/>
        </w:rPr>
        <w:footnoteRef/>
      </w:r>
      <w:r w:rsidR="00893CE1">
        <w:rPr>
          <w:lang w:val="en-IE"/>
        </w:rPr>
        <w:t xml:space="preserve"> </w:t>
      </w:r>
      <w:r w:rsidRPr="00844D90">
        <w:rPr>
          <w:lang w:val="en-IE"/>
        </w:rPr>
        <w:tab/>
        <w:t xml:space="preserve">2025 Rule of Law Report, Netherlands, p. 10 and </w:t>
      </w:r>
      <w:r w:rsidRPr="00844D90">
        <w:rPr>
          <w:szCs w:val="24"/>
          <w:lang w:val="en-IE"/>
        </w:rPr>
        <w:t>NJCM, NHC, TI-NL, FPU, RNW (2026)</w:t>
      </w:r>
      <w:r w:rsidRPr="00844D90">
        <w:rPr>
          <w:lang w:val="en-IE"/>
        </w:rPr>
        <w:t>, written input, p. 11.</w:t>
      </w:r>
    </w:p>
  </w:footnote>
  <w:footnote w:id="100">
    <w:p w14:paraId="3670383C" w14:textId="0C3BE0DD"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 xml:space="preserve">As of </w:t>
      </w:r>
      <w:r w:rsidR="00CD4D99">
        <w:rPr>
          <w:lang w:val="en-IE"/>
        </w:rPr>
        <w:t>June</w:t>
      </w:r>
      <w:r w:rsidR="00CD4D99" w:rsidRPr="00844D90">
        <w:rPr>
          <w:lang w:val="en-IE"/>
        </w:rPr>
        <w:t xml:space="preserve"> </w:t>
      </w:r>
      <w:r w:rsidRPr="00844D90">
        <w:rPr>
          <w:lang w:val="en-IE"/>
        </w:rPr>
        <w:t xml:space="preserve">2026, </w:t>
      </w:r>
      <w:r w:rsidR="00CD4D99">
        <w:rPr>
          <w:lang w:val="en-IE"/>
        </w:rPr>
        <w:t>seven</w:t>
      </w:r>
      <w:r w:rsidR="00CD4D99" w:rsidRPr="00844D90">
        <w:rPr>
          <w:lang w:val="en-IE"/>
        </w:rPr>
        <w:t xml:space="preserve"> </w:t>
      </w:r>
      <w:r w:rsidR="00EA2912">
        <w:rPr>
          <w:lang w:val="en-IE"/>
        </w:rPr>
        <w:t xml:space="preserve">pieces of </w:t>
      </w:r>
      <w:r w:rsidRPr="00844D90">
        <w:rPr>
          <w:lang w:val="en-IE"/>
        </w:rPr>
        <w:t>advice</w:t>
      </w:r>
      <w:r w:rsidR="00CD4D99">
        <w:rPr>
          <w:lang w:val="en-IE"/>
        </w:rPr>
        <w:t xml:space="preserve"> </w:t>
      </w:r>
      <w:r w:rsidR="00EA2912">
        <w:rPr>
          <w:lang w:val="en-IE"/>
        </w:rPr>
        <w:t>to</w:t>
      </w:r>
      <w:r w:rsidR="00CD4D99">
        <w:rPr>
          <w:lang w:val="en-IE"/>
        </w:rPr>
        <w:t xml:space="preserve"> former ministers or state secretaries</w:t>
      </w:r>
      <w:r w:rsidRPr="00844D90">
        <w:rPr>
          <w:lang w:val="en-IE"/>
        </w:rPr>
        <w:t xml:space="preserve"> </w:t>
      </w:r>
      <w:r w:rsidR="00CD4D99">
        <w:rPr>
          <w:lang w:val="en-IE"/>
        </w:rPr>
        <w:t>have</w:t>
      </w:r>
      <w:r w:rsidRPr="00844D90">
        <w:rPr>
          <w:lang w:val="en-IE"/>
        </w:rPr>
        <w:t xml:space="preserve"> been made public. Netherlands Government (2026), additional written input.</w:t>
      </w:r>
    </w:p>
  </w:footnote>
  <w:footnote w:id="101">
    <w:p w14:paraId="7F6F540A" w14:textId="526DD620" w:rsidR="00614D11" w:rsidRPr="00844D90" w:rsidRDefault="00614D11" w:rsidP="00614D11">
      <w:pPr>
        <w:pStyle w:val="FootnoteText"/>
        <w:rPr>
          <w:lang w:val="en-IE"/>
        </w:rPr>
      </w:pPr>
      <w:r w:rsidRPr="00844D90">
        <w:rPr>
          <w:rStyle w:val="FootnoteReference"/>
          <w:lang w:val="en-IE"/>
        </w:rPr>
        <w:footnoteRef/>
      </w:r>
      <w:r w:rsidRPr="00844D90">
        <w:rPr>
          <w:lang w:val="en-IE"/>
        </w:rPr>
        <w:t xml:space="preserve"> </w:t>
      </w:r>
      <w:r>
        <w:rPr>
          <w:lang w:val="en-IE"/>
        </w:rPr>
        <w:tab/>
      </w:r>
      <w:r w:rsidRPr="00844D90">
        <w:rPr>
          <w:lang w:val="en-IE"/>
        </w:rPr>
        <w:t>2025 Rule of Law Report, Netherlands, p. 10.</w:t>
      </w:r>
    </w:p>
  </w:footnote>
  <w:footnote w:id="102">
    <w:p w14:paraId="289AAB86" w14:textId="57A60B0B" w:rsidR="009E2F68" w:rsidRPr="00B87C8E" w:rsidRDefault="009E2F68" w:rsidP="009E2F68">
      <w:pPr>
        <w:pStyle w:val="FootnoteText"/>
        <w:rPr>
          <w:lang w:val="en-US"/>
        </w:rPr>
      </w:pPr>
      <w:r>
        <w:rPr>
          <w:rStyle w:val="FootnoteReference"/>
        </w:rPr>
        <w:footnoteRef/>
      </w:r>
      <w:r w:rsidR="00893CE1">
        <w:rPr>
          <w:lang w:val="en-US"/>
        </w:rPr>
        <w:t xml:space="preserve"> </w:t>
      </w:r>
      <w:r>
        <w:rPr>
          <w:lang w:val="en-US"/>
        </w:rPr>
        <w:tab/>
      </w:r>
      <w:r w:rsidR="00290DE4" w:rsidRPr="00290DE4">
        <w:rPr>
          <w:lang w:val="en-IE"/>
        </w:rPr>
        <w:t>Netherlands Government (2026), additional written</w:t>
      </w:r>
      <w:r w:rsidR="00372BED">
        <w:rPr>
          <w:lang w:val="en-IE"/>
        </w:rPr>
        <w:t xml:space="preserve"> input</w:t>
      </w:r>
      <w:r w:rsidR="00F802DF">
        <w:rPr>
          <w:lang w:val="en-IE"/>
        </w:rPr>
        <w:t>.</w:t>
      </w:r>
      <w:r w:rsidR="00290DE4" w:rsidRPr="00290DE4">
        <w:rPr>
          <w:lang w:val="en-IE"/>
        </w:rPr>
        <w:t xml:space="preserve"> </w:t>
      </w:r>
    </w:p>
  </w:footnote>
  <w:footnote w:id="103">
    <w:p w14:paraId="0D41CB1C" w14:textId="180282F5" w:rsidR="00165CC4" w:rsidRPr="00844D90" w:rsidRDefault="00165CC4" w:rsidP="00165CC4">
      <w:pPr>
        <w:pStyle w:val="FootnoteText"/>
        <w:rPr>
          <w:lang w:val="en-IE"/>
        </w:rPr>
      </w:pPr>
      <w:r w:rsidRPr="00844D90">
        <w:rPr>
          <w:rStyle w:val="FootnoteReference"/>
          <w:lang w:val="en-IE"/>
        </w:rPr>
        <w:footnoteRef/>
      </w:r>
      <w:r w:rsidR="00893CE1">
        <w:rPr>
          <w:lang w:val="en-IE"/>
        </w:rPr>
        <w:t xml:space="preserve"> </w:t>
      </w:r>
      <w:r w:rsidRPr="00844D90">
        <w:rPr>
          <w:lang w:val="en-IE"/>
        </w:rPr>
        <w:tab/>
      </w:r>
      <w:r w:rsidRPr="00844D90">
        <w:rPr>
          <w:szCs w:val="24"/>
          <w:lang w:val="en-IE"/>
        </w:rPr>
        <w:t>NJCM, NHC, TI-NL, FPU, RNW (2026)</w:t>
      </w:r>
      <w:r w:rsidRPr="00844D90">
        <w:rPr>
          <w:lang w:val="en-IE"/>
        </w:rPr>
        <w:t>, written input, p. 10.</w:t>
      </w:r>
    </w:p>
  </w:footnote>
  <w:footnote w:id="104">
    <w:p w14:paraId="3019A22D" w14:textId="12D60F7E" w:rsidR="00165CC4" w:rsidRPr="00844D90" w:rsidRDefault="00165CC4" w:rsidP="00165CC4">
      <w:pPr>
        <w:pStyle w:val="FootnoteText"/>
        <w:rPr>
          <w:lang w:val="en-IE"/>
        </w:rPr>
      </w:pPr>
      <w:r w:rsidRPr="00844D90">
        <w:rPr>
          <w:rStyle w:val="FootnoteReference"/>
          <w:lang w:val="en-IE"/>
        </w:rPr>
        <w:footnoteRef/>
      </w:r>
      <w:r w:rsidRPr="00844D90">
        <w:rPr>
          <w:rFonts w:eastAsia="Calibri"/>
          <w:noProof/>
          <w:color w:val="000000"/>
          <w:lang w:val="en-IE"/>
        </w:rPr>
        <w:t xml:space="preserve"> </w:t>
      </w:r>
      <w:r w:rsidR="000324C9">
        <w:rPr>
          <w:rFonts w:eastAsia="Calibri"/>
          <w:noProof/>
          <w:color w:val="000000"/>
          <w:lang w:val="en-IE"/>
        </w:rPr>
        <w:tab/>
      </w:r>
      <w:r w:rsidRPr="00844D90">
        <w:rPr>
          <w:rFonts w:eastAsia="Calibri"/>
          <w:noProof/>
          <w:color w:val="000000"/>
          <w:lang w:val="en-IE"/>
        </w:rPr>
        <w:t>The 2025 Rule of Law Report recommended</w:t>
      </w:r>
      <w:r w:rsidR="00D57DA9">
        <w:rPr>
          <w:rFonts w:eastAsia="Calibri"/>
          <w:noProof/>
          <w:color w:val="000000"/>
          <w:lang w:val="en-IE"/>
        </w:rPr>
        <w:t xml:space="preserve"> to</w:t>
      </w:r>
      <w:r w:rsidRPr="00844D90">
        <w:rPr>
          <w:rFonts w:eastAsia="Calibri"/>
          <w:noProof/>
          <w:color w:val="000000"/>
          <w:lang w:val="en-IE"/>
        </w:rPr>
        <w:t xml:space="preserve"> the Netherlands to ‘Establish stricter transparency rules on lobbying for members of the Government and Parliament’. “Limited further progress” was previously assessed on this recommendation in 2025.</w:t>
      </w:r>
    </w:p>
  </w:footnote>
  <w:footnote w:id="105">
    <w:p w14:paraId="626F6A3E" w14:textId="3366C24D" w:rsidR="00165CC4" w:rsidRPr="00844D90" w:rsidRDefault="00165CC4" w:rsidP="00165CC4">
      <w:pPr>
        <w:pStyle w:val="FootnoteText"/>
        <w:rPr>
          <w:lang w:val="en-IE"/>
        </w:rPr>
      </w:pPr>
      <w:r w:rsidRPr="00844D90">
        <w:rPr>
          <w:rStyle w:val="FootnoteReference"/>
          <w:lang w:val="en-IE"/>
        </w:rPr>
        <w:footnoteRef/>
      </w:r>
      <w:r w:rsidR="00893CE1">
        <w:rPr>
          <w:lang w:val="en-IE"/>
        </w:rPr>
        <w:t xml:space="preserve"> </w:t>
      </w:r>
      <w:r w:rsidRPr="00844D90">
        <w:rPr>
          <w:lang w:val="en-IE"/>
        </w:rPr>
        <w:tab/>
      </w:r>
      <w:r w:rsidRPr="00844D90">
        <w:rPr>
          <w:szCs w:val="24"/>
          <w:lang w:val="en-IE"/>
        </w:rPr>
        <w:t>Coalition Agreement (2026)</w:t>
      </w:r>
      <w:r w:rsidRPr="00844D90">
        <w:rPr>
          <w:lang w:val="en-IE"/>
        </w:rPr>
        <w:t>, p. 10.</w:t>
      </w:r>
    </w:p>
  </w:footnote>
  <w:footnote w:id="106">
    <w:p w14:paraId="674BBAD1" w14:textId="166FEB73"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000324C9">
        <w:rPr>
          <w:lang w:val="en-IE"/>
        </w:rPr>
        <w:tab/>
      </w:r>
      <w:r w:rsidRPr="00844D90">
        <w:rPr>
          <w:lang w:val="en-IE"/>
        </w:rPr>
        <w:t>A parliamentary debate, where the responsible Minister would set out further details, has been planned for September 2026. Ministry of Internal Affairs and Kingdom Relations (2026).</w:t>
      </w:r>
    </w:p>
  </w:footnote>
  <w:footnote w:id="107">
    <w:p w14:paraId="5F4ACC26" w14:textId="77777777"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 xml:space="preserve">Transparency International Netherlands (2026). </w:t>
      </w:r>
    </w:p>
  </w:footnote>
  <w:footnote w:id="108">
    <w:p w14:paraId="5386C10B" w14:textId="77777777"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 xml:space="preserve">It </w:t>
      </w:r>
      <w:r w:rsidRPr="00844D90">
        <w:rPr>
          <w:rFonts w:eastAsia="Calibri"/>
          <w:noProof/>
          <w:color w:val="000000"/>
          <w:lang w:val="en-IE"/>
        </w:rPr>
        <w:t xml:space="preserve">was submitted to Parliament in May 2025. </w:t>
      </w:r>
      <w:r w:rsidRPr="00844D90">
        <w:rPr>
          <w:lang w:val="en-IE"/>
        </w:rPr>
        <w:t>2025 Rule of Law Report, Netherlands, p. 11.</w:t>
      </w:r>
    </w:p>
  </w:footnote>
  <w:footnote w:id="109">
    <w:p w14:paraId="73A8AAC5" w14:textId="7ABCECEC"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r>
      <w:r w:rsidRPr="00844D90">
        <w:rPr>
          <w:rFonts w:eastAsia="Calibri"/>
          <w:noProof/>
          <w:color w:val="000000"/>
          <w:lang w:val="en-IE"/>
        </w:rPr>
        <w:t>The Act introduces transparency rules on the organisation of political parties</w:t>
      </w:r>
      <w:r w:rsidRPr="00844D90">
        <w:rPr>
          <w:rFonts w:eastAsia="Calibri"/>
          <w:noProof/>
          <w:color w:val="000000" w:themeColor="text1"/>
          <w:lang w:val="en-IE"/>
        </w:rPr>
        <w:t xml:space="preserve"> and also incorporates the existing Act on Political Party Financing.</w:t>
      </w:r>
      <w:r w:rsidR="000324C9">
        <w:rPr>
          <w:lang w:val="en-IE"/>
        </w:rPr>
        <w:t xml:space="preserve"> </w:t>
      </w:r>
      <w:r w:rsidRPr="00844D90">
        <w:rPr>
          <w:lang w:val="en-IE"/>
        </w:rPr>
        <w:t xml:space="preserve">It also aims to regulate, amongst other provisions, foreign parties’ activities and includes a prohibition on parties that “present a clear and present danger of undermining or abolishing the democratic rule of law”. 2024 Rule of Law Report, </w:t>
      </w:r>
      <w:r w:rsidR="007F1ECA">
        <w:rPr>
          <w:lang w:val="en-IE"/>
        </w:rPr>
        <w:t xml:space="preserve">Netherlands, </w:t>
      </w:r>
      <w:r w:rsidRPr="00844D90">
        <w:rPr>
          <w:lang w:val="en-IE"/>
        </w:rPr>
        <w:t>pp. 18-19.</w:t>
      </w:r>
    </w:p>
  </w:footnote>
  <w:footnote w:id="110">
    <w:p w14:paraId="28AC375C" w14:textId="301E4576"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000324C9">
        <w:rPr>
          <w:lang w:val="en-IE"/>
        </w:rPr>
        <w:tab/>
      </w:r>
      <w:r w:rsidRPr="00844D90">
        <w:rPr>
          <w:lang w:val="en-IE"/>
        </w:rPr>
        <w:t>Council of State (2026</w:t>
      </w:r>
      <w:r w:rsidR="000324C9">
        <w:rPr>
          <w:lang w:val="en-IE"/>
        </w:rPr>
        <w:t>a</w:t>
      </w:r>
      <w:r w:rsidRPr="00844D90">
        <w:rPr>
          <w:lang w:val="en-IE"/>
        </w:rPr>
        <w:t xml:space="preserve">). </w:t>
      </w:r>
    </w:p>
  </w:footnote>
  <w:footnote w:id="111">
    <w:p w14:paraId="71D49E8F" w14:textId="71EBC142"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 xml:space="preserve">Netherlands Government (2026), additional written input; </w:t>
      </w:r>
      <w:r w:rsidR="007C461D">
        <w:rPr>
          <w:lang w:val="en-IE"/>
        </w:rPr>
        <w:t>Tweede Kamer</w:t>
      </w:r>
      <w:r w:rsidRPr="00844D90">
        <w:rPr>
          <w:lang w:val="en-IE"/>
        </w:rPr>
        <w:t xml:space="preserve"> (2026</w:t>
      </w:r>
      <w:r w:rsidR="007C461D">
        <w:rPr>
          <w:lang w:val="en-IE"/>
        </w:rPr>
        <w:t>c</w:t>
      </w:r>
      <w:r w:rsidRPr="00844D90">
        <w:rPr>
          <w:lang w:val="en-IE"/>
        </w:rPr>
        <w:t xml:space="preserve">). </w:t>
      </w:r>
    </w:p>
  </w:footnote>
  <w:footnote w:id="112">
    <w:p w14:paraId="04D3C180" w14:textId="77777777"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This concerns individuals who are not residents in the Netherlands or do not possess Dutch nationality.</w:t>
      </w:r>
    </w:p>
  </w:footnote>
  <w:footnote w:id="113">
    <w:p w14:paraId="4AB2EE31" w14:textId="77777777"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r>
      <w:r w:rsidRPr="00844D90">
        <w:rPr>
          <w:szCs w:val="24"/>
          <w:lang w:val="en-IE"/>
        </w:rPr>
        <w:t>NJCM, NHC, TI-NL, FPU, RNW (2026)</w:t>
      </w:r>
      <w:r w:rsidRPr="00844D90">
        <w:rPr>
          <w:lang w:val="en-IE"/>
        </w:rPr>
        <w:t>, written input, p. 11.</w:t>
      </w:r>
    </w:p>
  </w:footnote>
  <w:footnote w:id="114">
    <w:p w14:paraId="4D68AB76" w14:textId="77777777"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In force since 2023 and aimed at transposing the EU Directive on whistleblower protection. 2023 Rule of Law Report, Netherlands, p. 16.</w:t>
      </w:r>
    </w:p>
  </w:footnote>
  <w:footnote w:id="115">
    <w:p w14:paraId="4386A9A8" w14:textId="56AB552C"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Dutch Whistleblower’s Authority (2026)</w:t>
      </w:r>
      <w:r w:rsidR="00D3166A">
        <w:rPr>
          <w:lang w:val="en-IE"/>
        </w:rPr>
        <w:t>, written input</w:t>
      </w:r>
      <w:r w:rsidRPr="00844D90">
        <w:rPr>
          <w:lang w:val="en-IE"/>
        </w:rPr>
        <w:t xml:space="preserve"> and </w:t>
      </w:r>
      <w:r w:rsidRPr="00844D90">
        <w:rPr>
          <w:szCs w:val="24"/>
          <w:lang w:val="en-IE"/>
        </w:rPr>
        <w:t>NJCM, NHC, TI-NL, FPU, RNW (2026)</w:t>
      </w:r>
      <w:r w:rsidRPr="00844D90">
        <w:rPr>
          <w:lang w:val="en-IE"/>
        </w:rPr>
        <w:t>, written input, p. 12.</w:t>
      </w:r>
    </w:p>
  </w:footnote>
  <w:footnote w:id="116">
    <w:p w14:paraId="20275911" w14:textId="77777777"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Netherlands Government (2026), written input, p. 14.</w:t>
      </w:r>
    </w:p>
  </w:footnote>
  <w:footnote w:id="117">
    <w:p w14:paraId="20909C26" w14:textId="77777777"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r>
      <w:r w:rsidRPr="00844D90">
        <w:rPr>
          <w:szCs w:val="24"/>
          <w:lang w:val="en-IE"/>
        </w:rPr>
        <w:t>NJCM, NHC, TI-NL, FPU, RNW (2026)</w:t>
      </w:r>
      <w:r w:rsidRPr="00844D90">
        <w:rPr>
          <w:lang w:val="en-IE"/>
        </w:rPr>
        <w:t xml:space="preserve">, written input, p. 13. See also 2025 Rule of Law Report, Netherlands, pp. 11-12. </w:t>
      </w:r>
    </w:p>
  </w:footnote>
  <w:footnote w:id="118">
    <w:p w14:paraId="66C30F68" w14:textId="7AAB38BA"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Dutch Whistleblower’s Authority (2026)</w:t>
      </w:r>
      <w:r w:rsidR="00CA1B65">
        <w:rPr>
          <w:lang w:val="en-IE"/>
        </w:rPr>
        <w:t>, written input</w:t>
      </w:r>
      <w:r w:rsidRPr="00844D90">
        <w:rPr>
          <w:lang w:val="en-IE"/>
        </w:rPr>
        <w:t>.</w:t>
      </w:r>
    </w:p>
  </w:footnote>
  <w:footnote w:id="119">
    <w:p w14:paraId="6432EC0F" w14:textId="4D83C931"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 xml:space="preserve">Flash Eurobarometer 582 on </w:t>
      </w:r>
      <w:r w:rsidR="00614FBA">
        <w:rPr>
          <w:lang w:val="en-IE"/>
        </w:rPr>
        <w:t>b</w:t>
      </w:r>
      <w:r w:rsidRPr="00844D90">
        <w:rPr>
          <w:lang w:val="en-IE"/>
        </w:rPr>
        <w:t>usinesses’ attitudes towards corruption in the EU (2026). This is 8 percentage points below the EU average.</w:t>
      </w:r>
    </w:p>
  </w:footnote>
  <w:footnote w:id="120">
    <w:p w14:paraId="1096EF24" w14:textId="54E60A8A"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00CA1B65">
        <w:rPr>
          <w:lang w:val="en-IE"/>
        </w:rPr>
        <w:tab/>
      </w:r>
      <w:r w:rsidRPr="00844D90">
        <w:rPr>
          <w:lang w:val="en-IE"/>
        </w:rPr>
        <w:t>2025 Single Market and Competitiveness Scoreboard.</w:t>
      </w:r>
    </w:p>
  </w:footnote>
  <w:footnote w:id="121">
    <w:p w14:paraId="0960FCF1" w14:textId="3253B348"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00CA1B65">
        <w:rPr>
          <w:lang w:val="en-IE"/>
        </w:rPr>
        <w:tab/>
      </w:r>
      <w:r w:rsidRPr="00844D90">
        <w:rPr>
          <w:lang w:val="en-IE"/>
        </w:rPr>
        <w:t>Figure 59, 2026 EU Justice Scoreboard.</w:t>
      </w:r>
    </w:p>
  </w:footnote>
  <w:footnote w:id="122">
    <w:p w14:paraId="68D45A41" w14:textId="645B4086"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r>
      <w:r w:rsidRPr="00844D90">
        <w:rPr>
          <w:szCs w:val="24"/>
          <w:lang w:val="en-IE"/>
        </w:rPr>
        <w:t>NJCM, NHC, TI-NL, FPU, RNW (2026)</w:t>
      </w:r>
      <w:r w:rsidRPr="00844D90">
        <w:rPr>
          <w:lang w:val="en-IE"/>
        </w:rPr>
        <w:t>, written input, p. 15</w:t>
      </w:r>
      <w:r w:rsidR="00CA1B65">
        <w:rPr>
          <w:lang w:val="en-IE"/>
        </w:rPr>
        <w:t xml:space="preserve">; </w:t>
      </w:r>
      <w:r w:rsidRPr="00844D90">
        <w:rPr>
          <w:lang w:val="en-IE"/>
        </w:rPr>
        <w:t xml:space="preserve">Country visit Netherlands, Court of Audit. See also 2025 Rule of Law Report, Netherlands, p. 12. </w:t>
      </w:r>
    </w:p>
  </w:footnote>
  <w:footnote w:id="123">
    <w:p w14:paraId="084B746B" w14:textId="0838E0E3" w:rsidR="00165CC4" w:rsidRPr="00844D90" w:rsidRDefault="00165CC4" w:rsidP="00165CC4">
      <w:pPr>
        <w:pStyle w:val="FootnoteText"/>
        <w:rPr>
          <w:lang w:val="en-IE"/>
        </w:rPr>
      </w:pPr>
      <w:r w:rsidRPr="00844D90">
        <w:rPr>
          <w:rStyle w:val="FootnoteReference"/>
          <w:lang w:val="en-IE"/>
        </w:rPr>
        <w:footnoteRef/>
      </w:r>
      <w:r w:rsidR="00893CE1">
        <w:rPr>
          <w:lang w:val="en-IE"/>
        </w:rPr>
        <w:t xml:space="preserve"> </w:t>
      </w:r>
      <w:r w:rsidRPr="00844D90">
        <w:rPr>
          <w:lang w:val="en-IE"/>
        </w:rPr>
        <w:tab/>
        <w:t>Research and Data Centre WODC (2026).</w:t>
      </w:r>
    </w:p>
  </w:footnote>
  <w:footnote w:id="124">
    <w:p w14:paraId="51BDED3C" w14:textId="091820F0" w:rsidR="00165CC4" w:rsidRPr="00844D90" w:rsidRDefault="00165CC4" w:rsidP="00165CC4">
      <w:pPr>
        <w:pStyle w:val="FootnoteText"/>
        <w:rPr>
          <w:lang w:val="en-IE"/>
        </w:rPr>
      </w:pPr>
      <w:r w:rsidRPr="00844D90">
        <w:rPr>
          <w:rStyle w:val="FootnoteReference"/>
          <w:lang w:val="en-IE"/>
        </w:rPr>
        <w:footnoteRef/>
      </w:r>
      <w:r w:rsidR="00893CE1">
        <w:rPr>
          <w:lang w:val="en-IE"/>
        </w:rPr>
        <w:t xml:space="preserve"> </w:t>
      </w:r>
      <w:r w:rsidRPr="00844D90">
        <w:rPr>
          <w:lang w:val="en-IE"/>
        </w:rPr>
        <w:tab/>
        <w:t xml:space="preserve">Strategic Knowledge Centre on Subversive Crime SKC (2026). </w:t>
      </w:r>
    </w:p>
  </w:footnote>
  <w:footnote w:id="125">
    <w:p w14:paraId="7E42F1C2" w14:textId="7DB43AB3" w:rsidR="00165CC4" w:rsidRPr="00844D90" w:rsidRDefault="00165CC4" w:rsidP="00165CC4">
      <w:pPr>
        <w:pStyle w:val="FootnoteText"/>
        <w:rPr>
          <w:lang w:val="en-IE"/>
        </w:rPr>
      </w:pPr>
      <w:r w:rsidRPr="00844D90">
        <w:rPr>
          <w:rStyle w:val="FootnoteReference"/>
          <w:lang w:val="en-IE"/>
        </w:rPr>
        <w:footnoteRef/>
      </w:r>
      <w:r w:rsidR="00893CE1">
        <w:rPr>
          <w:lang w:val="en-IE"/>
        </w:rPr>
        <w:t xml:space="preserve"> </w:t>
      </w:r>
      <w:r w:rsidRPr="00844D90">
        <w:rPr>
          <w:lang w:val="en-IE"/>
        </w:rPr>
        <w:tab/>
        <w:t>Netherlands Government (2026), additional written input.</w:t>
      </w:r>
    </w:p>
  </w:footnote>
  <w:footnote w:id="126">
    <w:p w14:paraId="69418CF2" w14:textId="063CE8FB" w:rsidR="00165CC4" w:rsidRPr="00844D90" w:rsidRDefault="00165CC4" w:rsidP="00165CC4">
      <w:pPr>
        <w:pStyle w:val="FootnoteText"/>
        <w:rPr>
          <w:lang w:val="en-IE"/>
        </w:rPr>
      </w:pPr>
      <w:r w:rsidRPr="00844D90">
        <w:rPr>
          <w:rStyle w:val="FootnoteReference"/>
          <w:lang w:val="en-IE"/>
        </w:rPr>
        <w:footnoteRef/>
      </w:r>
      <w:r w:rsidR="00893CE1">
        <w:rPr>
          <w:lang w:val="en-IE"/>
        </w:rPr>
        <w:t xml:space="preserve"> </w:t>
      </w:r>
      <w:r w:rsidRPr="00844D90">
        <w:rPr>
          <w:lang w:val="en-IE"/>
        </w:rPr>
        <w:tab/>
        <w:t xml:space="preserve">Central Government Audit Service (2025), pp. 4-7. </w:t>
      </w:r>
    </w:p>
  </w:footnote>
  <w:footnote w:id="127">
    <w:p w14:paraId="12C9084B" w14:textId="69C293B6" w:rsidR="00165CC4" w:rsidRPr="00844D90" w:rsidRDefault="00165CC4" w:rsidP="00165CC4">
      <w:pPr>
        <w:pStyle w:val="FootnoteText"/>
        <w:rPr>
          <w:lang w:val="en-IE"/>
        </w:rPr>
      </w:pPr>
      <w:r w:rsidRPr="00844D90">
        <w:rPr>
          <w:rStyle w:val="FootnoteReference"/>
          <w:lang w:val="en-IE"/>
        </w:rPr>
        <w:footnoteRef/>
      </w:r>
      <w:r w:rsidR="00893CE1">
        <w:rPr>
          <w:lang w:val="en-IE"/>
        </w:rPr>
        <w:t xml:space="preserve"> </w:t>
      </w:r>
      <w:r w:rsidRPr="00844D90">
        <w:rPr>
          <w:lang w:val="en-IE"/>
        </w:rPr>
        <w:tab/>
      </w:r>
      <w:r w:rsidRPr="00844D90">
        <w:rPr>
          <w:szCs w:val="24"/>
          <w:lang w:val="en-IE"/>
        </w:rPr>
        <w:t>NJCM, NHC, TI-NL, FPU, RNW (2026)</w:t>
      </w:r>
      <w:r w:rsidRPr="00844D90">
        <w:rPr>
          <w:lang w:val="en-IE"/>
        </w:rPr>
        <w:t xml:space="preserve">, written input, p. 14 and Country visit Netherlands, Court of Audit. </w:t>
      </w:r>
    </w:p>
  </w:footnote>
  <w:footnote w:id="128">
    <w:p w14:paraId="17123335" w14:textId="4B1F81CC" w:rsidR="00E16C14" w:rsidRPr="002D4AAD" w:rsidRDefault="00E16C14" w:rsidP="00E16C14">
      <w:pPr>
        <w:pStyle w:val="FootnoteText"/>
        <w:rPr>
          <w:lang w:val="en-IE"/>
        </w:rPr>
      </w:pPr>
      <w:r w:rsidRPr="00844D90">
        <w:rPr>
          <w:rStyle w:val="FootnoteReference"/>
          <w:lang w:val="en-IE"/>
        </w:rPr>
        <w:footnoteRef/>
      </w:r>
      <w:r w:rsidRPr="002D4AAD">
        <w:rPr>
          <w:lang w:val="en-IE"/>
        </w:rPr>
        <w:t xml:space="preserve"> </w:t>
      </w:r>
      <w:r w:rsidRPr="002D4AAD">
        <w:rPr>
          <w:lang w:val="en-IE"/>
        </w:rPr>
        <w:tab/>
      </w:r>
      <w:r w:rsidR="000C2ECA" w:rsidRPr="002D4AAD">
        <w:rPr>
          <w:lang w:val="en-IE"/>
        </w:rPr>
        <w:t>Country visit Ne</w:t>
      </w:r>
      <w:r w:rsidR="000700C9" w:rsidRPr="002D4AAD">
        <w:rPr>
          <w:lang w:val="en-IE"/>
        </w:rPr>
        <w:t xml:space="preserve">therlands, </w:t>
      </w:r>
      <w:r w:rsidR="00660EEF" w:rsidRPr="00660EEF">
        <w:t>Dutch public service media</w:t>
      </w:r>
      <w:r w:rsidRPr="002D4AAD">
        <w:rPr>
          <w:lang w:val="en-IE"/>
        </w:rPr>
        <w:t>.</w:t>
      </w:r>
    </w:p>
  </w:footnote>
  <w:footnote w:id="129">
    <w:p w14:paraId="1D20ABB5" w14:textId="5AEB038E" w:rsidR="00165CC4" w:rsidRPr="00331627" w:rsidRDefault="00165CC4" w:rsidP="00165CC4">
      <w:pPr>
        <w:pStyle w:val="FootnoteText"/>
        <w:rPr>
          <w:lang w:val="en-US"/>
        </w:rPr>
      </w:pPr>
      <w:r w:rsidRPr="00844D90">
        <w:rPr>
          <w:rStyle w:val="FootnoteReference"/>
          <w:lang w:val="en-IE"/>
        </w:rPr>
        <w:footnoteRef/>
      </w:r>
      <w:r w:rsidRPr="00331627">
        <w:rPr>
          <w:lang w:val="en-US"/>
        </w:rPr>
        <w:t xml:space="preserve"> </w:t>
      </w:r>
      <w:r w:rsidRPr="00331627">
        <w:rPr>
          <w:lang w:val="en-US"/>
        </w:rPr>
        <w:tab/>
        <w:t>CvdM (2025a).</w:t>
      </w:r>
    </w:p>
  </w:footnote>
  <w:footnote w:id="130">
    <w:p w14:paraId="096811DA" w14:textId="5A55D3E2"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Country visit Netherlands, Dutch media regulator (CvdM)</w:t>
      </w:r>
      <w:r w:rsidR="00027DBE">
        <w:rPr>
          <w:lang w:val="en-IE"/>
        </w:rPr>
        <w:t>; CvdM (2025)</w:t>
      </w:r>
      <w:r w:rsidRPr="00844D90">
        <w:rPr>
          <w:lang w:val="en-IE"/>
        </w:rPr>
        <w:t>.</w:t>
      </w:r>
    </w:p>
  </w:footnote>
  <w:footnote w:id="131">
    <w:p w14:paraId="78819C87" w14:textId="064BB4A9"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CvdM (2025).</w:t>
      </w:r>
    </w:p>
  </w:footnote>
  <w:footnote w:id="132">
    <w:p w14:paraId="237EF721" w14:textId="68A9A59A" w:rsidR="0049484E" w:rsidRPr="00331627" w:rsidRDefault="0049484E">
      <w:pPr>
        <w:pStyle w:val="FootnoteText"/>
        <w:rPr>
          <w:lang w:val="en-IE"/>
        </w:rPr>
      </w:pPr>
      <w:r>
        <w:rPr>
          <w:rStyle w:val="FootnoteReference"/>
        </w:rPr>
        <w:footnoteRef/>
      </w:r>
      <w:r w:rsidRPr="00331627">
        <w:rPr>
          <w:lang w:val="en-IE"/>
        </w:rPr>
        <w:t xml:space="preserve"> </w:t>
      </w:r>
      <w:r w:rsidR="00893CE1">
        <w:rPr>
          <w:lang w:val="en-IE"/>
        </w:rPr>
        <w:tab/>
      </w:r>
      <w:r w:rsidRPr="00331627">
        <w:rPr>
          <w:lang w:val="en-IE"/>
        </w:rPr>
        <w:t>The CvdM was appointed by ministerial decree – i.e. the Temporary Designation Decree for the implementation of the Regulation on transparency and targeted political advertising, and an Implementation Act for the Regulation on Transparency and Targeted Political Advertising is pending in the Parliament.</w:t>
      </w:r>
    </w:p>
  </w:footnote>
  <w:footnote w:id="133">
    <w:p w14:paraId="1F5EDA0F" w14:textId="1927193E"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 xml:space="preserve">Press Council (2026), written input. </w:t>
      </w:r>
    </w:p>
  </w:footnote>
  <w:footnote w:id="134">
    <w:p w14:paraId="14E04466" w14:textId="77777777"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2025 Rule of Law Report, Netherlands, p. 13.</w:t>
      </w:r>
    </w:p>
  </w:footnote>
  <w:footnote w:id="135">
    <w:p w14:paraId="7AACB373" w14:textId="6C3DD5B0"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 xml:space="preserve">Press Council (2025), p.6. The Press Council acknowledged that it cannot enforce the waiver of legal action; however so far there have been no cases in which parties to a complaint procedure at the Press Council </w:t>
      </w:r>
      <w:r w:rsidR="00F3512B">
        <w:rPr>
          <w:lang w:val="en-IE"/>
        </w:rPr>
        <w:t>ignored</w:t>
      </w:r>
      <w:r w:rsidRPr="00844D90">
        <w:rPr>
          <w:lang w:val="en-IE"/>
        </w:rPr>
        <w:t xml:space="preserve"> the waiver.</w:t>
      </w:r>
    </w:p>
  </w:footnote>
  <w:footnote w:id="136">
    <w:p w14:paraId="4E6D3E09" w14:textId="77777777"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Country visit Netherlands, Government.</w:t>
      </w:r>
    </w:p>
  </w:footnote>
  <w:footnote w:id="137">
    <w:p w14:paraId="4FF1B177" w14:textId="560B5229"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 xml:space="preserve">Press Council (2026), written input. </w:t>
      </w:r>
    </w:p>
  </w:footnote>
  <w:footnote w:id="138">
    <w:p w14:paraId="0632060A" w14:textId="5FB92F3D"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 xml:space="preserve">The 2025 Rule of Law Report recommended </w:t>
      </w:r>
      <w:r w:rsidR="00C050B5">
        <w:rPr>
          <w:lang w:val="en-IE"/>
        </w:rPr>
        <w:t xml:space="preserve">to </w:t>
      </w:r>
      <w:r w:rsidRPr="00844D90">
        <w:rPr>
          <w:lang w:val="en-IE"/>
        </w:rPr>
        <w:t xml:space="preserve">the Netherlands to ‘Take forward the planned reform of public service media to enhance its governance and its ability to uphold journalistic standards, taking into account European standards on public service media’. Some progress was previously assessed on this recommendation in 2025. </w:t>
      </w:r>
    </w:p>
  </w:footnote>
  <w:footnote w:id="139">
    <w:p w14:paraId="481E5F03" w14:textId="342D428D"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 xml:space="preserve">Country visit Netherlands, Dutch media regulator (CvdM) and Government; </w:t>
      </w:r>
      <w:r w:rsidR="003A139F">
        <w:rPr>
          <w:lang w:val="en-IE"/>
        </w:rPr>
        <w:t>Netherlands Government (2025)</w:t>
      </w:r>
      <w:r w:rsidR="00302D64">
        <w:rPr>
          <w:lang w:val="en-IE"/>
        </w:rPr>
        <w:t>, p. 11.</w:t>
      </w:r>
    </w:p>
  </w:footnote>
  <w:footnote w:id="140">
    <w:p w14:paraId="502FC477" w14:textId="012B6713"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Netherlands Government (2026), written input, p. 2; Dutch public service media (NPO) (2026), written input, pp. 14-15.</w:t>
      </w:r>
    </w:p>
  </w:footnote>
  <w:footnote w:id="141">
    <w:p w14:paraId="5390E2EB" w14:textId="77777777"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2025 Rule of Law Report, Netherlands, p. 13.</w:t>
      </w:r>
    </w:p>
  </w:footnote>
  <w:footnote w:id="142">
    <w:p w14:paraId="785E3B77" w14:textId="6DD3DA7F"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The current licensing system has been extended for two years, until 1 January 2029</w:t>
      </w:r>
      <w:r w:rsidR="00C664A9">
        <w:rPr>
          <w:lang w:val="en-IE"/>
        </w:rPr>
        <w:t xml:space="preserve">. </w:t>
      </w:r>
      <w:r w:rsidRPr="00844D90">
        <w:rPr>
          <w:lang w:val="en-IE"/>
        </w:rPr>
        <w:t>Country visit Netherlands, Dutch public service media (NPO).</w:t>
      </w:r>
    </w:p>
  </w:footnote>
  <w:footnote w:id="143">
    <w:p w14:paraId="521C4C39" w14:textId="3CC7219B"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Netherlands Government (2026), written input, p. 1. The total amount of funding was lowered with EUR</w:t>
      </w:r>
      <w:r w:rsidR="004778AD">
        <w:rPr>
          <w:lang w:val="en-IE"/>
        </w:rPr>
        <w:t> </w:t>
      </w:r>
      <w:r w:rsidRPr="00844D90">
        <w:rPr>
          <w:lang w:val="en-IE"/>
        </w:rPr>
        <w:t>156,7</w:t>
      </w:r>
      <w:r w:rsidR="004778AD">
        <w:rPr>
          <w:lang w:val="en-IE"/>
        </w:rPr>
        <w:t> </w:t>
      </w:r>
      <w:r w:rsidRPr="00844D90">
        <w:rPr>
          <w:lang w:val="en-IE"/>
        </w:rPr>
        <w:t>million starting in 2027. At the same time, the advertising limits are being expanded from an expected advertising revenue of EUR</w:t>
      </w:r>
      <w:r w:rsidR="004778AD">
        <w:rPr>
          <w:lang w:val="en-IE"/>
        </w:rPr>
        <w:t> </w:t>
      </w:r>
      <w:r w:rsidRPr="00844D90">
        <w:rPr>
          <w:lang w:val="en-IE"/>
        </w:rPr>
        <w:t>153</w:t>
      </w:r>
      <w:r w:rsidR="004778AD">
        <w:rPr>
          <w:lang w:val="en-IE"/>
        </w:rPr>
        <w:t> </w:t>
      </w:r>
      <w:r w:rsidRPr="00844D90">
        <w:rPr>
          <w:lang w:val="en-IE"/>
        </w:rPr>
        <w:t>million in 2025 to EUR</w:t>
      </w:r>
      <w:r w:rsidR="004778AD">
        <w:rPr>
          <w:lang w:val="en-IE"/>
        </w:rPr>
        <w:t> </w:t>
      </w:r>
      <w:r w:rsidRPr="00844D90">
        <w:rPr>
          <w:lang w:val="en-IE"/>
        </w:rPr>
        <w:t>165</w:t>
      </w:r>
      <w:r w:rsidR="004778AD">
        <w:rPr>
          <w:lang w:val="en-IE"/>
        </w:rPr>
        <w:t> </w:t>
      </w:r>
      <w:r w:rsidRPr="00844D90">
        <w:rPr>
          <w:lang w:val="en-IE"/>
        </w:rPr>
        <w:t>million in 2027.</w:t>
      </w:r>
    </w:p>
  </w:footnote>
  <w:footnote w:id="144">
    <w:p w14:paraId="22A51AA0" w14:textId="77777777"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Country visit Netherlands, Dutch public service media (NPO).</w:t>
      </w:r>
    </w:p>
  </w:footnote>
  <w:footnote w:id="145">
    <w:p w14:paraId="32FB1F87" w14:textId="727AC350" w:rsidR="00165CC4" w:rsidRPr="00331627" w:rsidRDefault="00165CC4" w:rsidP="00165CC4">
      <w:pPr>
        <w:pStyle w:val="FootnoteText"/>
        <w:rPr>
          <w:lang w:val="nl-NL"/>
        </w:rPr>
      </w:pPr>
      <w:r w:rsidRPr="00844D90">
        <w:rPr>
          <w:rStyle w:val="FootnoteReference"/>
          <w:lang w:val="en-IE"/>
        </w:rPr>
        <w:footnoteRef/>
      </w:r>
      <w:r w:rsidRPr="00331627">
        <w:rPr>
          <w:lang w:val="nl-NL"/>
        </w:rPr>
        <w:t xml:space="preserve"> </w:t>
      </w:r>
      <w:r w:rsidRPr="00331627">
        <w:rPr>
          <w:lang w:val="nl-NL"/>
        </w:rPr>
        <w:tab/>
      </w:r>
      <w:r w:rsidR="0042755C" w:rsidRPr="00331627">
        <w:rPr>
          <w:lang w:val="nl-NL"/>
        </w:rPr>
        <w:t xml:space="preserve">Netherlands </w:t>
      </w:r>
      <w:r w:rsidR="0042755C" w:rsidRPr="00903B26">
        <w:rPr>
          <w:lang w:val="nl-NL"/>
        </w:rPr>
        <w:t>Government</w:t>
      </w:r>
      <w:r w:rsidR="0042755C" w:rsidRPr="00331627">
        <w:rPr>
          <w:lang w:val="nl-NL"/>
        </w:rPr>
        <w:t xml:space="preserve"> (2025)</w:t>
      </w:r>
      <w:r w:rsidRPr="00331627">
        <w:rPr>
          <w:lang w:val="nl-NL"/>
        </w:rPr>
        <w:t>, p. 11.</w:t>
      </w:r>
    </w:p>
  </w:footnote>
  <w:footnote w:id="146">
    <w:p w14:paraId="66F548BF" w14:textId="77777777" w:rsidR="00165CC4" w:rsidRPr="00331627" w:rsidRDefault="00165CC4" w:rsidP="00165CC4">
      <w:pPr>
        <w:pStyle w:val="FootnoteText"/>
        <w:rPr>
          <w:lang w:val="nl-NL"/>
        </w:rPr>
      </w:pPr>
      <w:r w:rsidRPr="00844D90">
        <w:rPr>
          <w:rStyle w:val="FootnoteReference"/>
          <w:lang w:val="en-IE"/>
        </w:rPr>
        <w:footnoteRef/>
      </w:r>
      <w:r w:rsidRPr="00331627">
        <w:rPr>
          <w:lang w:val="nl-NL"/>
        </w:rPr>
        <w:t xml:space="preserve"> </w:t>
      </w:r>
      <w:r w:rsidRPr="00331627">
        <w:rPr>
          <w:lang w:val="nl-NL"/>
        </w:rPr>
        <w:tab/>
        <w:t>Tweede Kamer (2026</w:t>
      </w:r>
      <w:r w:rsidRPr="00331627">
        <w:rPr>
          <w:lang w:val="nl-BE"/>
        </w:rPr>
        <w:t>d</w:t>
      </w:r>
      <w:r w:rsidRPr="00331627">
        <w:rPr>
          <w:lang w:val="nl-NL"/>
        </w:rPr>
        <w:t>).</w:t>
      </w:r>
    </w:p>
  </w:footnote>
  <w:footnote w:id="147">
    <w:p w14:paraId="6AF4A4E5" w14:textId="36A929FE"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 xml:space="preserve">Country visit Netherlands, </w:t>
      </w:r>
      <w:r w:rsidR="00420257">
        <w:rPr>
          <w:lang w:val="en-IE"/>
        </w:rPr>
        <w:t>A</w:t>
      </w:r>
      <w:r w:rsidRPr="00844D90">
        <w:rPr>
          <w:lang w:val="en-IE"/>
        </w:rPr>
        <w:t xml:space="preserve">ssociation of </w:t>
      </w:r>
      <w:r w:rsidR="00420257">
        <w:rPr>
          <w:lang w:val="en-IE"/>
        </w:rPr>
        <w:t>J</w:t>
      </w:r>
      <w:r w:rsidRPr="00844D90">
        <w:rPr>
          <w:lang w:val="en-IE"/>
        </w:rPr>
        <w:t>ournalists.</w:t>
      </w:r>
    </w:p>
  </w:footnote>
  <w:footnote w:id="148">
    <w:p w14:paraId="4666D968" w14:textId="5F95A7BC"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Country visit Netherlands, additional written input, p. 5</w:t>
      </w:r>
      <w:r w:rsidR="00420257">
        <w:rPr>
          <w:lang w:val="en-IE"/>
        </w:rPr>
        <w:t>,</w:t>
      </w:r>
      <w:r w:rsidRPr="00844D90">
        <w:rPr>
          <w:lang w:val="en-IE"/>
        </w:rPr>
        <w:t xml:space="preserve"> 2025 Rule of Law Report, Netherlands, p. 14. </w:t>
      </w:r>
    </w:p>
  </w:footnote>
  <w:footnote w:id="149">
    <w:p w14:paraId="72AF3A21" w14:textId="77777777"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Country visit Netherlands, Dutch media regulator (CvdM).</w:t>
      </w:r>
    </w:p>
  </w:footnote>
  <w:footnote w:id="150">
    <w:p w14:paraId="4755EB8A" w14:textId="12DE9E06" w:rsidR="00165CC4" w:rsidRPr="00903B26" w:rsidRDefault="00165CC4" w:rsidP="00165CC4">
      <w:pPr>
        <w:pStyle w:val="FootnoteText"/>
        <w:rPr>
          <w:lang w:val="it-IT"/>
        </w:rPr>
      </w:pPr>
      <w:r w:rsidRPr="00844D90">
        <w:rPr>
          <w:rStyle w:val="FootnoteReference"/>
          <w:lang w:val="en-IE"/>
        </w:rPr>
        <w:footnoteRef/>
      </w:r>
      <w:r w:rsidRPr="00903B26">
        <w:rPr>
          <w:lang w:val="it-IT"/>
        </w:rPr>
        <w:t xml:space="preserve"> </w:t>
      </w:r>
      <w:r w:rsidR="00AE6765" w:rsidRPr="00903B26">
        <w:rPr>
          <w:lang w:val="it-IT"/>
        </w:rPr>
        <w:tab/>
      </w:r>
      <w:r w:rsidRPr="00903B26">
        <w:rPr>
          <w:lang w:val="it-IT"/>
        </w:rPr>
        <w:t>Media Pluralism Monitor (2026), p. 22.</w:t>
      </w:r>
    </w:p>
  </w:footnote>
  <w:footnote w:id="151">
    <w:p w14:paraId="4639E82C" w14:textId="34C12A05" w:rsidR="00165CC4" w:rsidRPr="00903B26" w:rsidRDefault="00165CC4" w:rsidP="00165CC4">
      <w:pPr>
        <w:pStyle w:val="FootnoteText"/>
        <w:rPr>
          <w:lang w:val="it-IT"/>
        </w:rPr>
      </w:pPr>
      <w:r w:rsidRPr="00DA2510">
        <w:rPr>
          <w:rStyle w:val="FootnoteReference"/>
          <w:lang w:val="en-IE"/>
        </w:rPr>
        <w:footnoteRef/>
      </w:r>
      <w:r w:rsidRPr="00903B26">
        <w:rPr>
          <w:lang w:val="it-IT"/>
        </w:rPr>
        <w:t xml:space="preserve"> </w:t>
      </w:r>
      <w:r w:rsidR="00AE6765" w:rsidRPr="00903B26">
        <w:rPr>
          <w:lang w:val="it-IT"/>
        </w:rPr>
        <w:tab/>
      </w:r>
      <w:r w:rsidRPr="00903B26">
        <w:rPr>
          <w:lang w:val="it-IT"/>
        </w:rPr>
        <w:t>Media Pluralism Monitor (2025), p. 18.</w:t>
      </w:r>
    </w:p>
  </w:footnote>
  <w:footnote w:id="152">
    <w:p w14:paraId="368CAE10" w14:textId="27B373D3" w:rsidR="00165CC4" w:rsidRPr="00844D90" w:rsidRDefault="00165CC4" w:rsidP="00165CC4">
      <w:pPr>
        <w:pStyle w:val="FootnoteText"/>
        <w:rPr>
          <w:sz w:val="18"/>
          <w:szCs w:val="18"/>
          <w:lang w:val="en-IE"/>
        </w:rPr>
      </w:pPr>
      <w:r w:rsidRPr="00844D90">
        <w:rPr>
          <w:vertAlign w:val="superscript"/>
          <w:lang w:val="en-IE"/>
        </w:rPr>
        <w:footnoteRef/>
      </w:r>
      <w:r w:rsidR="00154724" w:rsidRPr="00154724">
        <w:rPr>
          <w:lang w:val="en-IE"/>
        </w:rPr>
        <w:t xml:space="preserve"> </w:t>
      </w:r>
      <w:r w:rsidRPr="00154724">
        <w:rPr>
          <w:lang w:val="en-IE"/>
        </w:rPr>
        <w:tab/>
      </w:r>
      <w:r w:rsidRPr="00844D90">
        <w:rPr>
          <w:lang w:val="en-IE"/>
        </w:rPr>
        <w:t>2025 Rule of Law Report, Netherlands, p. 14.</w:t>
      </w:r>
    </w:p>
  </w:footnote>
  <w:footnote w:id="153">
    <w:p w14:paraId="4DFE59A1" w14:textId="77777777"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Country visit Netherlands, NDP Nieuwsmedia.</w:t>
      </w:r>
    </w:p>
  </w:footnote>
  <w:footnote w:id="154">
    <w:p w14:paraId="31C149B5" w14:textId="0C147294"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00AE6765">
        <w:rPr>
          <w:lang w:val="en-IE"/>
        </w:rPr>
        <w:tab/>
      </w:r>
      <w:r w:rsidRPr="00844D90">
        <w:rPr>
          <w:lang w:val="en-IE"/>
        </w:rPr>
        <w:t>Media Pluralism Monitor (2026), p. 21 and 27.</w:t>
      </w:r>
    </w:p>
  </w:footnote>
  <w:footnote w:id="155">
    <w:p w14:paraId="5F3584E3" w14:textId="25DE3E03" w:rsidR="00165CC4" w:rsidRPr="00844D90" w:rsidRDefault="00165CC4" w:rsidP="00165CC4">
      <w:pPr>
        <w:pStyle w:val="FootnoteText"/>
        <w:rPr>
          <w:lang w:val="en-IE"/>
        </w:rPr>
      </w:pPr>
      <w:r w:rsidRPr="00844D90">
        <w:rPr>
          <w:vertAlign w:val="superscript"/>
          <w:lang w:val="en-IE"/>
        </w:rPr>
        <w:footnoteRef/>
      </w:r>
      <w:r w:rsidRPr="00844D90">
        <w:rPr>
          <w:vertAlign w:val="superscript"/>
          <w:lang w:val="en-IE"/>
        </w:rPr>
        <w:t xml:space="preserve"> </w:t>
      </w:r>
      <w:r w:rsidRPr="00844D90">
        <w:rPr>
          <w:vertAlign w:val="superscript"/>
          <w:lang w:val="en-IE"/>
        </w:rPr>
        <w:tab/>
      </w:r>
      <w:r w:rsidRPr="00844D90">
        <w:rPr>
          <w:szCs w:val="18"/>
          <w:lang w:val="en-IE"/>
        </w:rPr>
        <w:t xml:space="preserve">The law entered into force on 1 May 2022 and is intended to make governments more transparent and aims to ensure that government information is easier to find, exchange, access, and </w:t>
      </w:r>
      <w:r w:rsidR="00420257">
        <w:rPr>
          <w:szCs w:val="18"/>
          <w:lang w:val="en-IE"/>
        </w:rPr>
        <w:t xml:space="preserve">is </w:t>
      </w:r>
      <w:r w:rsidRPr="00844D90">
        <w:rPr>
          <w:szCs w:val="18"/>
          <w:lang w:val="en-IE"/>
        </w:rPr>
        <w:t>properly archived.</w:t>
      </w:r>
    </w:p>
  </w:footnote>
  <w:footnote w:id="156">
    <w:p w14:paraId="2337D408" w14:textId="77777777"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Netherlands Government (2026), written input, p. 16.</w:t>
      </w:r>
    </w:p>
  </w:footnote>
  <w:footnote w:id="157">
    <w:p w14:paraId="2FCDE909" w14:textId="77777777"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Section 3.3 of the Open Government Act.</w:t>
      </w:r>
    </w:p>
  </w:footnote>
  <w:footnote w:id="158">
    <w:p w14:paraId="0971C59B" w14:textId="6C8D1562"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r>
      <w:r w:rsidR="003D6452" w:rsidRPr="00331627">
        <w:rPr>
          <w:lang w:val="en-US"/>
        </w:rPr>
        <w:t>Netherlands Government (2025)</w:t>
      </w:r>
      <w:r w:rsidRPr="00844D90">
        <w:rPr>
          <w:lang w:val="en-IE"/>
        </w:rPr>
        <w:t>, p. 11.</w:t>
      </w:r>
    </w:p>
  </w:footnote>
  <w:footnote w:id="159">
    <w:p w14:paraId="6CB67BC9" w14:textId="77777777"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 xml:space="preserve">open.overheid.nl. </w:t>
      </w:r>
    </w:p>
  </w:footnote>
  <w:footnote w:id="160">
    <w:p w14:paraId="2FB7BBDE" w14:textId="77777777"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Country visit Netherlands, Government.</w:t>
      </w:r>
    </w:p>
  </w:footnote>
  <w:footnote w:id="161">
    <w:p w14:paraId="36AEF237" w14:textId="639FF5E6"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Country visit Netherlands, Government</w:t>
      </w:r>
      <w:r w:rsidR="00A70984">
        <w:rPr>
          <w:lang w:val="en-IE"/>
        </w:rPr>
        <w:t>,</w:t>
      </w:r>
      <w:r w:rsidRPr="00844D90">
        <w:rPr>
          <w:lang w:val="en-IE"/>
        </w:rPr>
        <w:t xml:space="preserve"> Netherlands Government (2026), written input, p</w:t>
      </w:r>
      <w:r w:rsidR="00796DEF">
        <w:rPr>
          <w:lang w:val="en-IE"/>
        </w:rPr>
        <w:t>p</w:t>
      </w:r>
      <w:r w:rsidRPr="00844D90">
        <w:rPr>
          <w:lang w:val="en-IE"/>
        </w:rPr>
        <w:t>. 15-17.</w:t>
      </w:r>
    </w:p>
  </w:footnote>
  <w:footnote w:id="162">
    <w:p w14:paraId="708EF527" w14:textId="3F66CEBA"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 xml:space="preserve">Country visit Netherlands, </w:t>
      </w:r>
      <w:r w:rsidR="00A70984">
        <w:rPr>
          <w:lang w:val="en-IE"/>
        </w:rPr>
        <w:t>A</w:t>
      </w:r>
      <w:r w:rsidRPr="00844D90">
        <w:rPr>
          <w:lang w:val="en-IE"/>
        </w:rPr>
        <w:t xml:space="preserve">ssociation of </w:t>
      </w:r>
      <w:r w:rsidR="00A70984">
        <w:rPr>
          <w:lang w:val="en-IE"/>
        </w:rPr>
        <w:t>J</w:t>
      </w:r>
      <w:r w:rsidRPr="00844D90">
        <w:rPr>
          <w:lang w:val="en-IE"/>
        </w:rPr>
        <w:t>ournalists.</w:t>
      </w:r>
    </w:p>
  </w:footnote>
  <w:footnote w:id="163">
    <w:p w14:paraId="375FDCD1" w14:textId="120346E8"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 xml:space="preserve">Country visit Netherlands, </w:t>
      </w:r>
      <w:r w:rsidR="00C6754C">
        <w:rPr>
          <w:lang w:val="en-IE"/>
        </w:rPr>
        <w:t>Dutch p</w:t>
      </w:r>
      <w:r w:rsidRPr="00844D90">
        <w:rPr>
          <w:lang w:val="en-IE"/>
        </w:rPr>
        <w:t xml:space="preserve">ublic service media (NPO), </w:t>
      </w:r>
      <w:r w:rsidR="00C6754C">
        <w:rPr>
          <w:lang w:val="en-IE"/>
        </w:rPr>
        <w:t>A</w:t>
      </w:r>
      <w:r w:rsidRPr="00844D90">
        <w:rPr>
          <w:lang w:val="en-IE"/>
        </w:rPr>
        <w:t xml:space="preserve">ssociation of </w:t>
      </w:r>
      <w:r w:rsidR="00C6754C">
        <w:rPr>
          <w:lang w:val="en-IE"/>
        </w:rPr>
        <w:t>J</w:t>
      </w:r>
      <w:r w:rsidRPr="00844D90">
        <w:rPr>
          <w:lang w:val="en-IE"/>
        </w:rPr>
        <w:t>ournalists</w:t>
      </w:r>
      <w:r w:rsidR="00C6754C">
        <w:rPr>
          <w:lang w:val="en-IE"/>
        </w:rPr>
        <w:t>,</w:t>
      </w:r>
      <w:r w:rsidRPr="00844D90">
        <w:rPr>
          <w:lang w:val="en-IE"/>
        </w:rPr>
        <w:t xml:space="preserve"> Free Press Unlimited (2026), written input. p. 19.</w:t>
      </w:r>
    </w:p>
  </w:footnote>
  <w:footnote w:id="164">
    <w:p w14:paraId="73A71D4F" w14:textId="4DA7C5F4"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bookmarkStart w:id="25" w:name="_Hlk227188681"/>
      <w:r w:rsidRPr="00844D90">
        <w:rPr>
          <w:lang w:val="en-IE"/>
        </w:rPr>
        <w:tab/>
      </w:r>
      <w:r w:rsidR="003D6452" w:rsidRPr="00331627">
        <w:rPr>
          <w:lang w:val="en-US"/>
        </w:rPr>
        <w:t>Netherlands Government (2025)</w:t>
      </w:r>
      <w:r w:rsidRPr="00844D90">
        <w:rPr>
          <w:lang w:val="en-IE"/>
        </w:rPr>
        <w:t>, pp. 11-12.</w:t>
      </w:r>
      <w:bookmarkEnd w:id="25"/>
    </w:p>
  </w:footnote>
  <w:footnote w:id="165">
    <w:p w14:paraId="6D1C424D" w14:textId="77777777"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PersVeilig operates as an independent organisation dedicated to protecting press freedom. The foundation provides support, training, and expert legal advice.</w:t>
      </w:r>
    </w:p>
  </w:footnote>
  <w:footnote w:id="166">
    <w:p w14:paraId="702885AC" w14:textId="77777777"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Country visit Netherlands, NIHR.</w:t>
      </w:r>
    </w:p>
  </w:footnote>
  <w:footnote w:id="167">
    <w:p w14:paraId="5D9D0182" w14:textId="444C0DC7"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 xml:space="preserve">Country visit Netherlands, </w:t>
      </w:r>
      <w:r w:rsidR="003122FF">
        <w:rPr>
          <w:lang w:val="en-IE"/>
        </w:rPr>
        <w:t xml:space="preserve">Dutch </w:t>
      </w:r>
      <w:r w:rsidRPr="00844D90">
        <w:rPr>
          <w:lang w:val="en-IE"/>
        </w:rPr>
        <w:t>public service media (NPO)</w:t>
      </w:r>
      <w:r w:rsidR="003122FF">
        <w:rPr>
          <w:lang w:val="en-IE"/>
        </w:rPr>
        <w:t>,</w:t>
      </w:r>
      <w:r w:rsidRPr="00844D90">
        <w:rPr>
          <w:lang w:val="en-IE"/>
        </w:rPr>
        <w:t xml:space="preserve"> Country visit Netherlands, Government.</w:t>
      </w:r>
    </w:p>
  </w:footnote>
  <w:footnote w:id="168">
    <w:p w14:paraId="6B4FB2F6" w14:textId="77777777"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Netherlands Government (2026), written input, p. 16.</w:t>
      </w:r>
    </w:p>
  </w:footnote>
  <w:footnote w:id="169">
    <w:p w14:paraId="6B91864B" w14:textId="77777777"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Free Press Unlimited (2026), written input. p. 18.</w:t>
      </w:r>
    </w:p>
  </w:footnote>
  <w:footnote w:id="170">
    <w:p w14:paraId="48D9E00F" w14:textId="6262514F"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00DC43DB">
        <w:rPr>
          <w:lang w:val="en-IE"/>
        </w:rPr>
        <w:tab/>
      </w:r>
      <w:r w:rsidRPr="00844D90">
        <w:rPr>
          <w:lang w:val="en-IE"/>
        </w:rPr>
        <w:t>Council of Europe Platform to promote the protection of journalism and safety of journalists (2026). The national authorities have not replied to one of the alerts, while a reply is expected by 21 July 2026 on the other alert.</w:t>
      </w:r>
    </w:p>
  </w:footnote>
  <w:footnote w:id="171">
    <w:p w14:paraId="6975802E" w14:textId="3E6B08C9"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r>
      <w:r w:rsidR="00DC43DB">
        <w:rPr>
          <w:lang w:val="en-IE"/>
        </w:rPr>
        <w:t>This includes</w:t>
      </w:r>
      <w:r w:rsidRPr="00844D90">
        <w:rPr>
          <w:lang w:val="en-IE"/>
        </w:rPr>
        <w:t xml:space="preserve"> cases of assault, harassment, intimidation, damage, spoofing, hacking and blocked access to information. Mapping Media Freedom (2026).</w:t>
      </w:r>
    </w:p>
  </w:footnote>
  <w:footnote w:id="172">
    <w:p w14:paraId="5BC351A8" w14:textId="2DDB0F51"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Country visit</w:t>
      </w:r>
      <w:r w:rsidR="00166685">
        <w:rPr>
          <w:lang w:val="en-IE"/>
        </w:rPr>
        <w:t xml:space="preserve"> Netherlands</w:t>
      </w:r>
      <w:r w:rsidRPr="00844D90">
        <w:rPr>
          <w:lang w:val="en-IE"/>
        </w:rPr>
        <w:t>, NIHR, association of journalists</w:t>
      </w:r>
      <w:r w:rsidR="00166685">
        <w:rPr>
          <w:lang w:val="en-IE"/>
        </w:rPr>
        <w:t>,</w:t>
      </w:r>
      <w:r w:rsidRPr="00844D90">
        <w:rPr>
          <w:lang w:val="en-IE"/>
        </w:rPr>
        <w:t xml:space="preserve"> Free Press Unlimited (2026), written input, p. 18.</w:t>
      </w:r>
    </w:p>
  </w:footnote>
  <w:footnote w:id="173">
    <w:p w14:paraId="6F2077EA" w14:textId="333EB981"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 xml:space="preserve">Country visit Netherlands, </w:t>
      </w:r>
      <w:r w:rsidR="00166685">
        <w:rPr>
          <w:lang w:val="en-IE"/>
        </w:rPr>
        <w:t>A</w:t>
      </w:r>
      <w:r w:rsidRPr="00844D90">
        <w:rPr>
          <w:lang w:val="en-IE"/>
        </w:rPr>
        <w:t xml:space="preserve">ssociation of </w:t>
      </w:r>
      <w:r w:rsidR="00166685">
        <w:rPr>
          <w:lang w:val="en-IE"/>
        </w:rPr>
        <w:t>J</w:t>
      </w:r>
      <w:r w:rsidRPr="00844D90">
        <w:rPr>
          <w:lang w:val="en-IE"/>
        </w:rPr>
        <w:t xml:space="preserve">ournalists and </w:t>
      </w:r>
      <w:r w:rsidR="00166685">
        <w:rPr>
          <w:lang w:val="en-IE"/>
        </w:rPr>
        <w:t xml:space="preserve">Dutch </w:t>
      </w:r>
      <w:r w:rsidRPr="00844D90">
        <w:rPr>
          <w:lang w:val="en-IE"/>
        </w:rPr>
        <w:t>public service media (NPO).</w:t>
      </w:r>
    </w:p>
  </w:footnote>
  <w:footnote w:id="174">
    <w:p w14:paraId="4BA53CB3" w14:textId="77777777"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Country visit Netherlands, NIHR.</w:t>
      </w:r>
    </w:p>
  </w:footnote>
  <w:footnote w:id="175">
    <w:p w14:paraId="1D168010" w14:textId="04505A82"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 xml:space="preserve">Letter of 25 February 2026 addressed to Ministers Letschert and Van Weel, signed by </w:t>
      </w:r>
      <w:r w:rsidRPr="00903B26">
        <w:rPr>
          <w:lang w:val="en-IE"/>
        </w:rPr>
        <w:t>NDP Nieuwsmedia, Nederlandse Vereniging van Journalisten, Nederlands Genootschap van Hoofdredacteuren</w:t>
      </w:r>
      <w:r w:rsidRPr="00844D90">
        <w:rPr>
          <w:lang w:val="en-IE"/>
        </w:rPr>
        <w:t xml:space="preserve"> and Free Press Unlimited</w:t>
      </w:r>
      <w:r w:rsidR="00D5019F">
        <w:rPr>
          <w:lang w:val="en-IE"/>
        </w:rPr>
        <w:t>,</w:t>
      </w:r>
      <w:r w:rsidRPr="00844D90">
        <w:rPr>
          <w:lang w:val="en-IE"/>
        </w:rPr>
        <w:t xml:space="preserve"> Free Press Unlimited (2026), written input. p. 20. </w:t>
      </w:r>
    </w:p>
  </w:footnote>
  <w:footnote w:id="176">
    <w:p w14:paraId="033BA1E9" w14:textId="5AF621AD"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 xml:space="preserve">Country visit Netherlands, </w:t>
      </w:r>
      <w:r w:rsidR="00D5019F">
        <w:rPr>
          <w:lang w:val="en-IE"/>
        </w:rPr>
        <w:t>A</w:t>
      </w:r>
      <w:r w:rsidRPr="00844D90">
        <w:rPr>
          <w:lang w:val="en-IE"/>
        </w:rPr>
        <w:t xml:space="preserve">ssociation of </w:t>
      </w:r>
      <w:r w:rsidR="00D5019F">
        <w:rPr>
          <w:lang w:val="en-IE"/>
        </w:rPr>
        <w:t>J</w:t>
      </w:r>
      <w:r w:rsidRPr="00844D90">
        <w:rPr>
          <w:lang w:val="en-IE"/>
        </w:rPr>
        <w:t>ournalists.</w:t>
      </w:r>
    </w:p>
  </w:footnote>
  <w:footnote w:id="177">
    <w:p w14:paraId="21BF0EAF" w14:textId="77777777"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Country visit Netherlands, NIHR, Dutch public service media (NPO).</w:t>
      </w:r>
    </w:p>
  </w:footnote>
  <w:footnote w:id="178">
    <w:p w14:paraId="39A31B68" w14:textId="77777777"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 xml:space="preserve">For more details on the state of play, see the </w:t>
      </w:r>
      <w:hyperlink r:id="rId2" w:history="1">
        <w:r w:rsidRPr="00844D90">
          <w:rPr>
            <w:rStyle w:val="Hyperlink"/>
            <w:lang w:val="en-IE"/>
          </w:rPr>
          <w:t>website</w:t>
        </w:r>
      </w:hyperlink>
      <w:r w:rsidRPr="00844D90">
        <w:rPr>
          <w:lang w:val="en-IE"/>
        </w:rPr>
        <w:t xml:space="preserve"> of the Dutch Government and the </w:t>
      </w:r>
      <w:hyperlink r:id="rId3" w:history="1">
        <w:r w:rsidRPr="00844D90">
          <w:rPr>
            <w:rStyle w:val="Hyperlink"/>
            <w:lang w:val="en-IE"/>
          </w:rPr>
          <w:t>website</w:t>
        </w:r>
      </w:hyperlink>
      <w:r w:rsidRPr="00844D90">
        <w:rPr>
          <w:lang w:val="en-IE"/>
        </w:rPr>
        <w:t xml:space="preserve"> of the Chamber of Representatives.</w:t>
      </w:r>
    </w:p>
  </w:footnote>
  <w:footnote w:id="179">
    <w:p w14:paraId="415F285E" w14:textId="0D1DB098"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 xml:space="preserve">Country visit Netherlands, </w:t>
      </w:r>
      <w:r w:rsidR="00D5019F">
        <w:rPr>
          <w:lang w:val="en-IE"/>
        </w:rPr>
        <w:t>A</w:t>
      </w:r>
      <w:r w:rsidRPr="00844D90">
        <w:rPr>
          <w:lang w:val="en-IE"/>
        </w:rPr>
        <w:t xml:space="preserve">ssociation of </w:t>
      </w:r>
      <w:r w:rsidR="00D5019F">
        <w:rPr>
          <w:lang w:val="en-IE"/>
        </w:rPr>
        <w:t>J</w:t>
      </w:r>
      <w:r w:rsidRPr="00844D90">
        <w:rPr>
          <w:lang w:val="en-IE"/>
        </w:rPr>
        <w:t xml:space="preserve">ournalists; Country visit </w:t>
      </w:r>
      <w:r w:rsidR="00166685">
        <w:rPr>
          <w:lang w:val="en-IE"/>
        </w:rPr>
        <w:t>Netherlands</w:t>
      </w:r>
      <w:r w:rsidRPr="00844D90">
        <w:rPr>
          <w:lang w:val="en-IE"/>
        </w:rPr>
        <w:t xml:space="preserve"> </w:t>
      </w:r>
      <w:r w:rsidRPr="00844D90">
        <w:rPr>
          <w:sz w:val="22"/>
          <w:lang w:val="en-IE"/>
        </w:rPr>
        <w:t>NJCM, NHC, TI-NL, FPU, RNW</w:t>
      </w:r>
      <w:r w:rsidRPr="00844D90">
        <w:rPr>
          <w:lang w:val="en-IE"/>
        </w:rPr>
        <w:t>; Free Press Unlimited (2026), written input. pp. 19-20.</w:t>
      </w:r>
    </w:p>
  </w:footnote>
  <w:footnote w:id="180">
    <w:p w14:paraId="7A9C71D7" w14:textId="73C6EFE9"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 xml:space="preserve">The 2025 Rule of Law Report recommended </w:t>
      </w:r>
      <w:r w:rsidR="00D5019F">
        <w:rPr>
          <w:lang w:val="en-IE"/>
        </w:rPr>
        <w:t xml:space="preserve">to </w:t>
      </w:r>
      <w:r w:rsidRPr="00844D90">
        <w:rPr>
          <w:lang w:val="en-IE"/>
        </w:rPr>
        <w:t xml:space="preserve">the Netherlands to “Take forward the proposal of the State Commission on Rule of Law to strengthen a rule of law culture, including by setting up a structured dialogue between the state powers based on a ‘rule of law agenda’.” Some progress was previously assessed on this recommendation in 2025. </w:t>
      </w:r>
    </w:p>
  </w:footnote>
  <w:footnote w:id="181">
    <w:p w14:paraId="5EC8412F" w14:textId="77777777"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 xml:space="preserve">2025 Rule of Law Report, Netherlands, p. 16. </w:t>
      </w:r>
    </w:p>
  </w:footnote>
  <w:footnote w:id="182">
    <w:p w14:paraId="4379A07C" w14:textId="195B21CE"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Ministry of Finance (2026), budget line 27. See for more developments Section I</w:t>
      </w:r>
      <w:r w:rsidR="007961CB">
        <w:rPr>
          <w:lang w:val="en-IE"/>
        </w:rPr>
        <w:t xml:space="preserve"> of this Chapter</w:t>
      </w:r>
      <w:r w:rsidRPr="00844D90">
        <w:rPr>
          <w:lang w:val="en-IE"/>
        </w:rPr>
        <w:t xml:space="preserve"> on the Justice System. </w:t>
      </w:r>
    </w:p>
  </w:footnote>
  <w:footnote w:id="183">
    <w:p w14:paraId="2C0E8AEB" w14:textId="715626F5"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Council for the Judiciary (2026</w:t>
      </w:r>
      <w:r w:rsidR="007961CB">
        <w:rPr>
          <w:lang w:val="en-IE"/>
        </w:rPr>
        <w:t>b</w:t>
      </w:r>
      <w:r w:rsidRPr="00844D90">
        <w:rPr>
          <w:lang w:val="en-IE"/>
        </w:rPr>
        <w:t>), p. 7</w:t>
      </w:r>
      <w:r w:rsidR="00FE64D6">
        <w:rPr>
          <w:lang w:val="en-IE"/>
        </w:rPr>
        <w:t>,</w:t>
      </w:r>
      <w:r w:rsidRPr="00844D90">
        <w:rPr>
          <w:lang w:val="en-IE"/>
        </w:rPr>
        <w:t xml:space="preserve"> Netherlands Government, additional written input.</w:t>
      </w:r>
    </w:p>
  </w:footnote>
  <w:footnote w:id="184">
    <w:p w14:paraId="44F412FE" w14:textId="77777777"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r>
      <w:r w:rsidRPr="00844D90">
        <w:rPr>
          <w:rFonts w:eastAsiaTheme="minorEastAsia"/>
          <w:noProof/>
          <w:lang w:val="en-IE"/>
        </w:rPr>
        <w:t>The secretariat is currently housed at the Court of Audit and consists of one staff member.</w:t>
      </w:r>
    </w:p>
  </w:footnote>
  <w:footnote w:id="185">
    <w:p w14:paraId="628967E6" w14:textId="5BDAC9B1"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2025 Rule of Law Report, Netherlands, p. 16; Tweede Kamer (2026</w:t>
      </w:r>
      <w:r w:rsidR="00E35434">
        <w:rPr>
          <w:lang w:val="en-IE"/>
        </w:rPr>
        <w:t>f</w:t>
      </w:r>
      <w:r w:rsidRPr="00844D90">
        <w:rPr>
          <w:lang w:val="en-IE"/>
        </w:rPr>
        <w:t xml:space="preserve">). </w:t>
      </w:r>
    </w:p>
  </w:footnote>
  <w:footnote w:id="186">
    <w:p w14:paraId="2A47B478" w14:textId="695EEF0D"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Council of State (2026), written input</w:t>
      </w:r>
      <w:r w:rsidR="00FE64D6">
        <w:rPr>
          <w:lang w:val="en-IE"/>
        </w:rPr>
        <w:t xml:space="preserve">, p. </w:t>
      </w:r>
      <w:r w:rsidR="00BB56D8">
        <w:rPr>
          <w:lang w:val="en-IE"/>
        </w:rPr>
        <w:t>1</w:t>
      </w:r>
      <w:r w:rsidRPr="00844D90">
        <w:rPr>
          <w:lang w:val="en-IE"/>
        </w:rPr>
        <w:t>.</w:t>
      </w:r>
    </w:p>
  </w:footnote>
  <w:footnote w:id="187">
    <w:p w14:paraId="1BE3171E" w14:textId="5EBB67C4"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Country visit Netherlands, Netherlands Bar Association</w:t>
      </w:r>
      <w:r w:rsidR="00A5665A">
        <w:rPr>
          <w:lang w:val="en-IE"/>
        </w:rPr>
        <w:t>,</w:t>
      </w:r>
      <w:r w:rsidRPr="00844D90">
        <w:rPr>
          <w:lang w:val="en-IE"/>
        </w:rPr>
        <w:t xml:space="preserve"> Netherlands Bar Association (2026), additional written input</w:t>
      </w:r>
      <w:r w:rsidR="00A5665A">
        <w:rPr>
          <w:lang w:val="en-IE"/>
        </w:rPr>
        <w:t>,</w:t>
      </w:r>
      <w:r w:rsidRPr="00844D90">
        <w:rPr>
          <w:lang w:val="en-IE"/>
        </w:rPr>
        <w:t xml:space="preserve"> Council for the Judiciary (2026</w:t>
      </w:r>
      <w:r w:rsidR="00D53724">
        <w:rPr>
          <w:lang w:val="en-IE"/>
        </w:rPr>
        <w:t>a</w:t>
      </w:r>
      <w:r w:rsidRPr="00844D90">
        <w:rPr>
          <w:lang w:val="en-IE"/>
        </w:rPr>
        <w:t xml:space="preserve">), </w:t>
      </w:r>
      <w:r w:rsidR="006416CF">
        <w:rPr>
          <w:lang w:val="en-IE"/>
        </w:rPr>
        <w:t xml:space="preserve">additional </w:t>
      </w:r>
      <w:r w:rsidRPr="00844D90">
        <w:rPr>
          <w:lang w:val="en-IE"/>
        </w:rPr>
        <w:t>written input. The Netherlands Bar Association refers notably to the revision of the Criminal Procedure Code</w:t>
      </w:r>
      <w:r>
        <w:rPr>
          <w:lang w:val="en-IE"/>
        </w:rPr>
        <w:t xml:space="preserve"> </w:t>
      </w:r>
      <w:r w:rsidRPr="00844D90">
        <w:rPr>
          <w:lang w:val="en-IE"/>
        </w:rPr>
        <w:t>and measures affecting legal professional privilege. The Council for the Judiciary emphasized in several reactions to a variety of legislative proposals (for example in the area of housing, defen</w:t>
      </w:r>
      <w:r>
        <w:rPr>
          <w:lang w:val="en-IE"/>
        </w:rPr>
        <w:t>c</w:t>
      </w:r>
      <w:r w:rsidRPr="00844D90">
        <w:rPr>
          <w:lang w:val="en-IE"/>
        </w:rPr>
        <w:t xml:space="preserve">e and sharing of sensitive information in research organisations) that a two-stage appeal procedure allowing for a review regarding both facts and law is an important part of the rule of law. Simplification of the two-stage appeal process should be balanced against effective legal protection. </w:t>
      </w:r>
    </w:p>
  </w:footnote>
  <w:footnote w:id="188">
    <w:p w14:paraId="71FAA439" w14:textId="0D1E28A3"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r>
      <w:r w:rsidRPr="00844D90" w:rsidDel="00E35434">
        <w:rPr>
          <w:lang w:val="en-IE"/>
        </w:rPr>
        <w:t xml:space="preserve">Figures 52 and 53, </w:t>
      </w:r>
      <w:r w:rsidRPr="00844D90">
        <w:rPr>
          <w:lang w:val="en-IE"/>
        </w:rPr>
        <w:t xml:space="preserve">2026 EU Justice Scoreboard. </w:t>
      </w:r>
      <w:r w:rsidRPr="00844D90">
        <w:rPr>
          <w:lang w:val="en-IE" w:eastAsia="fr-FR"/>
        </w:rPr>
        <w:t>8</w:t>
      </w:r>
      <w:r w:rsidR="00624AD1">
        <w:rPr>
          <w:lang w:val="en-IE" w:eastAsia="fr-FR"/>
        </w:rPr>
        <w:t> </w:t>
      </w:r>
      <w:r w:rsidRPr="00844D90">
        <w:rPr>
          <w:lang w:val="en-IE" w:eastAsia="fr-FR"/>
        </w:rPr>
        <w:t>% and 7</w:t>
      </w:r>
      <w:r w:rsidR="00624AD1">
        <w:rPr>
          <w:lang w:val="en-IE" w:eastAsia="fr-FR"/>
        </w:rPr>
        <w:t> </w:t>
      </w:r>
      <w:r w:rsidRPr="00844D90">
        <w:rPr>
          <w:lang w:val="en-IE" w:eastAsia="fr-FR"/>
        </w:rPr>
        <w:t xml:space="preserve">% </w:t>
      </w:r>
      <w:r w:rsidRPr="00844D90">
        <w:rPr>
          <w:lang w:val="en-IE"/>
        </w:rPr>
        <w:t xml:space="preserve">of the surveyed investors respectively perceive the frequent changes in legislation or concerns about the quality of the law-making process and </w:t>
      </w:r>
      <w:r w:rsidRPr="00844D90">
        <w:rPr>
          <w:rFonts w:eastAsia="Calibri"/>
          <w:lang w:val="en-IE"/>
        </w:rPr>
        <w:t xml:space="preserve">concerns about quality, efficiency or independence of justice </w:t>
      </w:r>
      <w:r w:rsidRPr="00844D90">
        <w:rPr>
          <w:lang w:val="en-IE"/>
        </w:rPr>
        <w:t>as a reason for the lack of confidence in investment protection.</w:t>
      </w:r>
      <w:r w:rsidRPr="00844D90">
        <w:rPr>
          <w:lang w:val="en-IE" w:eastAsia="fr-FR"/>
        </w:rPr>
        <w:t xml:space="preserve"> </w:t>
      </w:r>
    </w:p>
  </w:footnote>
  <w:footnote w:id="189">
    <w:p w14:paraId="377B261A" w14:textId="7691AE7A"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r>
      <w:r w:rsidRPr="00844D90" w:rsidDel="00E35434">
        <w:rPr>
          <w:lang w:val="en-IE"/>
        </w:rPr>
        <w:t xml:space="preserve">Figure 60, </w:t>
      </w:r>
      <w:r w:rsidRPr="00844D90">
        <w:rPr>
          <w:lang w:val="en-IE"/>
        </w:rPr>
        <w:t>2026 EU Justice Scoreboard.</w:t>
      </w:r>
      <w:r w:rsidRPr="00844D90">
        <w:rPr>
          <w:lang w:val="en-IE" w:eastAsia="fr-FR"/>
        </w:rPr>
        <w:t xml:space="preserve"> </w:t>
      </w:r>
    </w:p>
  </w:footnote>
  <w:footnote w:id="190">
    <w:p w14:paraId="0A7195FB" w14:textId="417C53BC"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r>
      <w:r w:rsidRPr="00844D90" w:rsidDel="00E35434">
        <w:rPr>
          <w:lang w:val="en-IE"/>
        </w:rPr>
        <w:t xml:space="preserve">Figures 66 and 67, </w:t>
      </w:r>
      <w:r w:rsidRPr="00844D90">
        <w:rPr>
          <w:lang w:val="en-IE"/>
        </w:rPr>
        <w:t>2026 EU Justice Scoreboard. The data presented reflects exclusively the mechanisms in place at the level of the highest administrative jurisdictions; the same or other mechanisms may be in place at lower instance administrative courts.</w:t>
      </w:r>
    </w:p>
  </w:footnote>
  <w:footnote w:id="191">
    <w:p w14:paraId="42936C31" w14:textId="77777777"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 xml:space="preserve">For an explanation of the supervision process, see the </w:t>
      </w:r>
      <w:hyperlink r:id="rId4" w:history="1">
        <w:r w:rsidRPr="00844D90">
          <w:rPr>
            <w:rStyle w:val="Hyperlink"/>
            <w:lang w:val="en-IE"/>
          </w:rPr>
          <w:t>website</w:t>
        </w:r>
      </w:hyperlink>
      <w:r w:rsidRPr="00844D90">
        <w:rPr>
          <w:lang w:val="en-IE"/>
        </w:rPr>
        <w:t xml:space="preserve"> of the Council of Europe. </w:t>
      </w:r>
    </w:p>
  </w:footnote>
  <w:footnote w:id="192">
    <w:p w14:paraId="2CAA5B82" w14:textId="77777777"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All figures calculated by the European Implementation Network (EIN) and based on the number of cases that are considered pending at the annual cut-off date of 1 January 2026. EIN (2026), written input, p. 7.</w:t>
      </w:r>
    </w:p>
  </w:footnote>
  <w:footnote w:id="193">
    <w:p w14:paraId="1E855D8D" w14:textId="77777777"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 xml:space="preserve">Judgment of the ECtHR, 10511/10, </w:t>
      </w:r>
      <w:r w:rsidRPr="00844D90">
        <w:rPr>
          <w:i/>
          <w:iCs/>
          <w:lang w:val="en-IE"/>
        </w:rPr>
        <w:t>Murray v. the Netherlands</w:t>
      </w:r>
      <w:r w:rsidRPr="00844D90">
        <w:rPr>
          <w:lang w:val="en-IE"/>
        </w:rPr>
        <w:t xml:space="preserve">, pending implementation since 2016. </w:t>
      </w:r>
    </w:p>
  </w:footnote>
  <w:footnote w:id="194">
    <w:p w14:paraId="7D629D18" w14:textId="77777777"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Council of Europe (2026), p.163</w:t>
      </w:r>
    </w:p>
  </w:footnote>
  <w:footnote w:id="195">
    <w:p w14:paraId="4B31AEBC" w14:textId="77777777"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Data according to the online database of the Council of Europe (HUDOC).</w:t>
      </w:r>
    </w:p>
  </w:footnote>
  <w:footnote w:id="196">
    <w:p w14:paraId="4C093671" w14:textId="77777777"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Accreditation is provided by the Global Alliance of National Human Rights Institutions (GANHRI), based on the Principles relating to the Status of National Institutions (The Paris Principles).</w:t>
      </w:r>
    </w:p>
  </w:footnote>
  <w:footnote w:id="197">
    <w:p w14:paraId="187A6638" w14:textId="52A59039"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Coalition Agreement (2026a). Also</w:t>
      </w:r>
      <w:r w:rsidR="00E924A8">
        <w:rPr>
          <w:lang w:val="en-IE"/>
        </w:rPr>
        <w:t>,</w:t>
      </w:r>
      <w:r w:rsidRPr="00844D90">
        <w:rPr>
          <w:lang w:val="en-IE"/>
        </w:rPr>
        <w:t xml:space="preserve"> the police, prisons, the Public Prosecution service, the Council for the Judiciary, the Legal Aid Board, the Supreme Court, the Council of State and the Court of Audit have been exempted.</w:t>
      </w:r>
    </w:p>
  </w:footnote>
  <w:footnote w:id="198">
    <w:p w14:paraId="2AB02BAA" w14:textId="77777777"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 xml:space="preserve">2025 Rule of Law Report, Netherlands, p. 17; NIHR (2026), p. 45. </w:t>
      </w:r>
    </w:p>
  </w:footnote>
  <w:footnote w:id="199">
    <w:p w14:paraId="4387F0E0" w14:textId="77777777" w:rsidR="00165CC4" w:rsidRPr="00AC0D05" w:rsidRDefault="00165CC4" w:rsidP="00165CC4">
      <w:pPr>
        <w:pStyle w:val="FootnoteText"/>
        <w:rPr>
          <w:lang w:val="da-DK"/>
        </w:rPr>
      </w:pPr>
      <w:r w:rsidRPr="00844D90">
        <w:rPr>
          <w:rStyle w:val="FootnoteReference"/>
          <w:lang w:val="en-IE"/>
        </w:rPr>
        <w:footnoteRef/>
      </w:r>
      <w:r w:rsidRPr="00AC0D05">
        <w:rPr>
          <w:lang w:val="da-DK"/>
        </w:rPr>
        <w:t xml:space="preserve"> </w:t>
      </w:r>
      <w:r w:rsidRPr="00AC0D05">
        <w:rPr>
          <w:lang w:val="da-DK"/>
        </w:rPr>
        <w:tab/>
        <w:t xml:space="preserve">NIHR (2026), p. 42. </w:t>
      </w:r>
    </w:p>
  </w:footnote>
  <w:footnote w:id="200">
    <w:p w14:paraId="51308C3A" w14:textId="77777777" w:rsidR="00165CC4" w:rsidRPr="00AC0D05" w:rsidRDefault="00165CC4" w:rsidP="00165CC4">
      <w:pPr>
        <w:pStyle w:val="FootnoteText"/>
        <w:rPr>
          <w:lang w:val="da-DK"/>
        </w:rPr>
      </w:pPr>
      <w:r w:rsidRPr="00844D90">
        <w:rPr>
          <w:rStyle w:val="FootnoteReference"/>
          <w:lang w:val="en-IE"/>
        </w:rPr>
        <w:footnoteRef/>
      </w:r>
      <w:r w:rsidRPr="00AC0D05">
        <w:rPr>
          <w:lang w:val="da-DK"/>
        </w:rPr>
        <w:t xml:space="preserve"> </w:t>
      </w:r>
      <w:r w:rsidRPr="00AC0D05">
        <w:rPr>
          <w:lang w:val="da-DK"/>
        </w:rPr>
        <w:tab/>
        <w:t xml:space="preserve">National Ombudsman (2026), p. 34. </w:t>
      </w:r>
    </w:p>
  </w:footnote>
  <w:footnote w:id="201">
    <w:p w14:paraId="4E807884" w14:textId="1EF7110B" w:rsidR="00165CC4" w:rsidRPr="00844D90" w:rsidRDefault="00165CC4" w:rsidP="00165CC4">
      <w:pPr>
        <w:pStyle w:val="FootnoteText"/>
        <w:rPr>
          <w:highlight w:val="yellow"/>
          <w:lang w:val="en-IE"/>
        </w:rPr>
      </w:pPr>
      <w:r w:rsidRPr="00844D90">
        <w:rPr>
          <w:rStyle w:val="FootnoteReference"/>
          <w:lang w:val="en-IE"/>
        </w:rPr>
        <w:footnoteRef/>
      </w:r>
      <w:r w:rsidRPr="00844D90">
        <w:rPr>
          <w:lang w:val="en-IE"/>
        </w:rPr>
        <w:t xml:space="preserve"> </w:t>
      </w:r>
      <w:r w:rsidRPr="00844D90">
        <w:rPr>
          <w:lang w:val="en-IE"/>
        </w:rPr>
        <w:tab/>
        <w:t>Additional EUR</w:t>
      </w:r>
      <w:r w:rsidR="004778AD">
        <w:rPr>
          <w:lang w:val="en-IE"/>
        </w:rPr>
        <w:t> </w:t>
      </w:r>
      <w:r w:rsidRPr="00844D90">
        <w:rPr>
          <w:lang w:val="en-IE"/>
        </w:rPr>
        <w:t xml:space="preserve">70 000. NIHR (2025b), p. 35. </w:t>
      </w:r>
    </w:p>
  </w:footnote>
  <w:footnote w:id="202">
    <w:p w14:paraId="319C4BED" w14:textId="1E3CC68E"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For example, in the area of corruption, access to justice and organised crime. Ministry for Justice and Security</w:t>
      </w:r>
      <w:r w:rsidR="00EF03B7">
        <w:rPr>
          <w:lang w:val="en-IE"/>
        </w:rPr>
        <w:t xml:space="preserve"> (2026)</w:t>
      </w:r>
      <w:r w:rsidRPr="00844D90">
        <w:rPr>
          <w:lang w:val="en-IE"/>
        </w:rPr>
        <w:t xml:space="preserve">. </w:t>
      </w:r>
    </w:p>
  </w:footnote>
  <w:footnote w:id="203">
    <w:p w14:paraId="5419931F" w14:textId="0BE9DA22"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r>
      <w:r w:rsidR="00EA7D98" w:rsidRPr="00844D90">
        <w:rPr>
          <w:lang w:val="en-IE"/>
        </w:rPr>
        <w:t>The Netherlands score</w:t>
      </w:r>
      <w:r w:rsidR="00EA7D98">
        <w:rPr>
          <w:lang w:val="en-IE"/>
        </w:rPr>
        <w:t>s</w:t>
      </w:r>
      <w:r w:rsidR="00EA7D98" w:rsidRPr="00844D90">
        <w:rPr>
          <w:lang w:val="en-IE"/>
        </w:rPr>
        <w:t xml:space="preserve"> 75/100.</w:t>
      </w:r>
      <w:r w:rsidR="00EA7D98">
        <w:rPr>
          <w:lang w:val="en-IE"/>
        </w:rPr>
        <w:t xml:space="preserve"> </w:t>
      </w:r>
      <w:r w:rsidR="00EF03B7">
        <w:rPr>
          <w:lang w:val="en-IE"/>
        </w:rPr>
        <w:t>R</w:t>
      </w:r>
      <w:r w:rsidRPr="00844D90">
        <w:rPr>
          <w:lang w:val="en-IE"/>
        </w:rPr>
        <w:t>ating</w:t>
      </w:r>
      <w:r w:rsidR="00EF03B7">
        <w:rPr>
          <w:lang w:val="en-IE"/>
        </w:rPr>
        <w:t>s</w:t>
      </w:r>
      <w:r w:rsidRPr="00844D90">
        <w:rPr>
          <w:lang w:val="en-IE"/>
        </w:rPr>
        <w:t xml:space="preserve"> by CIVICUS</w:t>
      </w:r>
      <w:r w:rsidR="00EF03B7">
        <w:rPr>
          <w:lang w:val="en-IE"/>
        </w:rPr>
        <w:t xml:space="preserve"> </w:t>
      </w:r>
      <w:r w:rsidRPr="00844D90">
        <w:rPr>
          <w:lang w:val="en-IE"/>
        </w:rPr>
        <w:t xml:space="preserve">are on a five-category scale defined as: open, narrowed, obstructed, repressed, and closed. </w:t>
      </w:r>
    </w:p>
  </w:footnote>
  <w:footnote w:id="204">
    <w:p w14:paraId="742DE5CC" w14:textId="77777777"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 xml:space="preserve">The draft aimed to introduce transparency requirements to prevent donations and undue foreign influence. The draft provisions would have introduced the possibility to make targeted enquiries about foreign donations above a certain threshold and for the Courts to impose penalties. </w:t>
      </w:r>
    </w:p>
  </w:footnote>
  <w:footnote w:id="205">
    <w:p w14:paraId="1FD5C5A3" w14:textId="25FD07B9"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Country visit</w:t>
      </w:r>
      <w:r w:rsidR="00166685">
        <w:rPr>
          <w:lang w:val="en-IE"/>
        </w:rPr>
        <w:t xml:space="preserve"> Netherlands</w:t>
      </w:r>
      <w:r w:rsidRPr="00844D90">
        <w:rPr>
          <w:lang w:val="en-IE"/>
        </w:rPr>
        <w:t xml:space="preserve">, </w:t>
      </w:r>
      <w:r w:rsidRPr="00844D90">
        <w:rPr>
          <w:szCs w:val="24"/>
          <w:lang w:val="en-IE"/>
        </w:rPr>
        <w:t>NJCM, NHC, TI-NL, FPU, RNW</w:t>
      </w:r>
      <w:r w:rsidRPr="00844D90">
        <w:rPr>
          <w:lang w:val="en-IE"/>
        </w:rPr>
        <w:t xml:space="preserve">, </w:t>
      </w:r>
      <w:r w:rsidRPr="00903B26">
        <w:rPr>
          <w:lang w:val="en-IE"/>
        </w:rPr>
        <w:t>Goede Doelen Nederland</w:t>
      </w:r>
      <w:r w:rsidRPr="00844D90">
        <w:rPr>
          <w:lang w:val="en-IE"/>
        </w:rPr>
        <w:t xml:space="preserve"> (2026); NIHR (2025a). </w:t>
      </w:r>
    </w:p>
  </w:footnote>
  <w:footnote w:id="206">
    <w:p w14:paraId="670BC1DF" w14:textId="77777777" w:rsidR="00165CC4" w:rsidRPr="00CD2BF9" w:rsidRDefault="00165CC4" w:rsidP="00165CC4">
      <w:pPr>
        <w:pStyle w:val="FootnoteText"/>
        <w:rPr>
          <w:lang w:val="nl-NL"/>
        </w:rPr>
      </w:pPr>
      <w:r w:rsidRPr="00844D90">
        <w:rPr>
          <w:rStyle w:val="FootnoteReference"/>
          <w:lang w:val="en-IE"/>
        </w:rPr>
        <w:footnoteRef/>
      </w:r>
      <w:r w:rsidRPr="00CD2BF9">
        <w:rPr>
          <w:lang w:val="nl-NL"/>
        </w:rPr>
        <w:t xml:space="preserve"> </w:t>
      </w:r>
      <w:r w:rsidRPr="00CD2BF9">
        <w:rPr>
          <w:lang w:val="nl-NL"/>
        </w:rPr>
        <w:tab/>
        <w:t xml:space="preserve">NIHR (2025), p. 11. </w:t>
      </w:r>
    </w:p>
  </w:footnote>
  <w:footnote w:id="207">
    <w:p w14:paraId="4919890A" w14:textId="77777777" w:rsidR="00165CC4" w:rsidRPr="00CD2BF9" w:rsidRDefault="00165CC4" w:rsidP="00165CC4">
      <w:pPr>
        <w:pStyle w:val="FootnoteText"/>
        <w:rPr>
          <w:lang w:val="nl-NL"/>
        </w:rPr>
      </w:pPr>
      <w:r w:rsidRPr="00844D90">
        <w:rPr>
          <w:rStyle w:val="FootnoteReference"/>
          <w:lang w:val="en-IE"/>
        </w:rPr>
        <w:footnoteRef/>
      </w:r>
      <w:r w:rsidRPr="00CD2BF9">
        <w:rPr>
          <w:lang w:val="nl-NL"/>
        </w:rPr>
        <w:t xml:space="preserve"> </w:t>
      </w:r>
      <w:r w:rsidRPr="00CD2BF9">
        <w:rPr>
          <w:lang w:val="nl-NL"/>
        </w:rPr>
        <w:tab/>
        <w:t xml:space="preserve">NIHR (2025), p. 10. </w:t>
      </w:r>
    </w:p>
  </w:footnote>
  <w:footnote w:id="208">
    <w:p w14:paraId="73AB163A" w14:textId="77777777" w:rsidR="00165CC4" w:rsidRPr="00AC0D05" w:rsidRDefault="00165CC4" w:rsidP="00165CC4">
      <w:pPr>
        <w:pStyle w:val="FootnoteText"/>
        <w:rPr>
          <w:lang w:val="nl-NL"/>
        </w:rPr>
      </w:pPr>
      <w:r w:rsidRPr="00844D90">
        <w:rPr>
          <w:rStyle w:val="FootnoteReference"/>
          <w:lang w:val="en-IE"/>
        </w:rPr>
        <w:footnoteRef/>
      </w:r>
      <w:r w:rsidRPr="00AC0D05">
        <w:rPr>
          <w:lang w:val="nl-NL"/>
        </w:rPr>
        <w:t xml:space="preserve"> </w:t>
      </w:r>
      <w:r w:rsidRPr="00AC0D05">
        <w:rPr>
          <w:lang w:val="nl-NL"/>
        </w:rPr>
        <w:tab/>
        <w:t xml:space="preserve">Rijksuniversiteit Groningen, Pro Facto, de Universiteit van Amsterdam and Tilburg University (2025). </w:t>
      </w:r>
    </w:p>
  </w:footnote>
  <w:footnote w:id="209">
    <w:p w14:paraId="0580A7DC" w14:textId="74B092EC"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Netherlands Government (2026), additional written input</w:t>
      </w:r>
      <w:r w:rsidR="008D2B4D">
        <w:rPr>
          <w:lang w:val="en-IE"/>
        </w:rPr>
        <w:t>,</w:t>
      </w:r>
      <w:r w:rsidRPr="00844D90">
        <w:rPr>
          <w:lang w:val="en-IE"/>
        </w:rPr>
        <w:t xml:space="preserve"> Tweede Kamer (2026e). </w:t>
      </w:r>
    </w:p>
  </w:footnote>
  <w:footnote w:id="210">
    <w:p w14:paraId="33B44EE8" w14:textId="77777777"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 xml:space="preserve">National Ombudsman (2026a), pp. 16, 42, 64, 65. </w:t>
      </w:r>
    </w:p>
  </w:footnote>
  <w:footnote w:id="211">
    <w:p w14:paraId="2743E5A9" w14:textId="547D4B2A"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bookmarkStart w:id="26" w:name="_Hlk162629153"/>
      <w:r w:rsidR="00147C4C">
        <w:rPr>
          <w:lang w:val="en-IE"/>
        </w:rPr>
        <w:tab/>
      </w:r>
      <w:r w:rsidRPr="00844D90">
        <w:rPr>
          <w:lang w:val="en-IE"/>
        </w:rPr>
        <w:t xml:space="preserve">Country visit Netherlands, </w:t>
      </w:r>
      <w:r w:rsidRPr="00844D90">
        <w:rPr>
          <w:szCs w:val="24"/>
          <w:lang w:val="en-IE"/>
        </w:rPr>
        <w:t xml:space="preserve">NJCM, NHC, TI-NL, FPU, RNW </w:t>
      </w:r>
      <w:r w:rsidRPr="00844D90">
        <w:rPr>
          <w:lang w:val="en-IE"/>
        </w:rPr>
        <w:t>(2026), written input,</w:t>
      </w:r>
      <w:bookmarkEnd w:id="26"/>
      <w:r w:rsidRPr="00844D90">
        <w:rPr>
          <w:lang w:val="en-IE"/>
        </w:rPr>
        <w:t xml:space="preserve"> p. 41; 2025 Rule of Law Report, Netherlands, p. 18-19.</w:t>
      </w:r>
    </w:p>
  </w:footnote>
  <w:footnote w:id="212">
    <w:p w14:paraId="72CE53E4" w14:textId="77777777"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 xml:space="preserve">NOS (2025). </w:t>
      </w:r>
    </w:p>
  </w:footnote>
  <w:footnote w:id="213">
    <w:p w14:paraId="70754750" w14:textId="77777777" w:rsidR="00165CC4" w:rsidRPr="00844D90" w:rsidRDefault="00165CC4" w:rsidP="00165CC4">
      <w:pPr>
        <w:pStyle w:val="FootnoteText"/>
        <w:rPr>
          <w:lang w:val="en-IE"/>
        </w:rPr>
      </w:pPr>
      <w:r w:rsidRPr="00844D90">
        <w:rPr>
          <w:rStyle w:val="FootnoteReference"/>
          <w:lang w:val="en-IE"/>
        </w:rPr>
        <w:footnoteRef/>
      </w:r>
      <w:r w:rsidRPr="00844D90">
        <w:rPr>
          <w:lang w:val="en-IE"/>
        </w:rPr>
        <w:t xml:space="preserve"> </w:t>
      </w:r>
      <w:r w:rsidRPr="00844D90">
        <w:rPr>
          <w:lang w:val="en-IE"/>
        </w:rPr>
        <w:tab/>
        <w:t>2025 Rule of Law Report, Netherlands, p. 19.</w:t>
      </w:r>
    </w:p>
  </w:footnote>
  <w:footnote w:id="214">
    <w:p w14:paraId="5E3DC112" w14:textId="3D6E8698" w:rsidR="00165CC4" w:rsidRPr="00844D90" w:rsidRDefault="00165CC4" w:rsidP="00FE2C2E">
      <w:pPr>
        <w:pStyle w:val="FootnoteText"/>
        <w:rPr>
          <w:lang w:val="en-IE"/>
        </w:rPr>
      </w:pPr>
      <w:r w:rsidRPr="00844D90">
        <w:rPr>
          <w:rStyle w:val="FootnoteReference"/>
          <w:lang w:val="en-IE"/>
        </w:rPr>
        <w:footnoteRef/>
      </w:r>
      <w:r w:rsidRPr="00844D90">
        <w:rPr>
          <w:lang w:val="en-IE"/>
        </w:rPr>
        <w:t xml:space="preserve"> </w:t>
      </w:r>
      <w:r w:rsidRPr="00844D90">
        <w:rPr>
          <w:lang w:val="en-IE"/>
        </w:rPr>
        <w:tab/>
        <w:t>City of Amsterdam (2026)</w:t>
      </w:r>
      <w:r w:rsidR="00147C4C">
        <w:rPr>
          <w:lang w:val="en-IE"/>
        </w:rPr>
        <w:t>, written input</w:t>
      </w:r>
      <w:r w:rsidRPr="00844D90">
        <w:rPr>
          <w:lang w:val="en-I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8BDDAA" w14:textId="77777777" w:rsidR="00F4719A" w:rsidRPr="00F4719A" w:rsidRDefault="00F4719A" w:rsidP="00F4719A">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896930" w14:textId="77777777" w:rsidR="00F4719A" w:rsidRPr="00F4719A" w:rsidRDefault="00F4719A" w:rsidP="00F4719A">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ABDACF" w14:textId="77777777" w:rsidR="00F4719A" w:rsidRPr="00F4719A" w:rsidRDefault="00F4719A" w:rsidP="00F4719A">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8828A1" w14:textId="76138F90" w:rsidR="00165CC4" w:rsidRDefault="00165CC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92849B" w14:textId="6F51A7CD" w:rsidR="00165CC4" w:rsidRPr="004F49F5" w:rsidRDefault="00165CC4" w:rsidP="004F49F5">
    <w:pPr>
      <w:pStyle w:val="Header"/>
      <w:rPr>
        <w:i/>
        <w:lang w:val="en-US"/>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DD02ED" w14:textId="1BB47C5C" w:rsidR="00165CC4" w:rsidRDefault="00165C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94861"/>
    <w:multiLevelType w:val="hybridMultilevel"/>
    <w:tmpl w:val="D8A6D826"/>
    <w:lvl w:ilvl="0" w:tplc="D55E1AAA">
      <w:start w:val="1"/>
      <w:numFmt w:val="bullet"/>
      <w:lvlText w:val=""/>
      <w:lvlJc w:val="left"/>
      <w:pPr>
        <w:ind w:left="720" w:hanging="360"/>
      </w:pPr>
      <w:rPr>
        <w:rFonts w:ascii="Symbol" w:hAnsi="Symbol"/>
      </w:rPr>
    </w:lvl>
    <w:lvl w:ilvl="1" w:tplc="602AB956">
      <w:start w:val="1"/>
      <w:numFmt w:val="bullet"/>
      <w:lvlText w:val=""/>
      <w:lvlJc w:val="left"/>
      <w:pPr>
        <w:ind w:left="720" w:hanging="360"/>
      </w:pPr>
      <w:rPr>
        <w:rFonts w:ascii="Symbol" w:hAnsi="Symbol"/>
      </w:rPr>
    </w:lvl>
    <w:lvl w:ilvl="2" w:tplc="96EC4EF8">
      <w:start w:val="1"/>
      <w:numFmt w:val="bullet"/>
      <w:lvlText w:val=""/>
      <w:lvlJc w:val="left"/>
      <w:pPr>
        <w:ind w:left="720" w:hanging="360"/>
      </w:pPr>
      <w:rPr>
        <w:rFonts w:ascii="Symbol" w:hAnsi="Symbol"/>
      </w:rPr>
    </w:lvl>
    <w:lvl w:ilvl="3" w:tplc="E57446C6">
      <w:start w:val="1"/>
      <w:numFmt w:val="bullet"/>
      <w:lvlText w:val=""/>
      <w:lvlJc w:val="left"/>
      <w:pPr>
        <w:ind w:left="720" w:hanging="360"/>
      </w:pPr>
      <w:rPr>
        <w:rFonts w:ascii="Symbol" w:hAnsi="Symbol"/>
      </w:rPr>
    </w:lvl>
    <w:lvl w:ilvl="4" w:tplc="92A2FF8E">
      <w:start w:val="1"/>
      <w:numFmt w:val="bullet"/>
      <w:lvlText w:val=""/>
      <w:lvlJc w:val="left"/>
      <w:pPr>
        <w:ind w:left="720" w:hanging="360"/>
      </w:pPr>
      <w:rPr>
        <w:rFonts w:ascii="Symbol" w:hAnsi="Symbol"/>
      </w:rPr>
    </w:lvl>
    <w:lvl w:ilvl="5" w:tplc="70746EE2">
      <w:start w:val="1"/>
      <w:numFmt w:val="bullet"/>
      <w:lvlText w:val=""/>
      <w:lvlJc w:val="left"/>
      <w:pPr>
        <w:ind w:left="720" w:hanging="360"/>
      </w:pPr>
      <w:rPr>
        <w:rFonts w:ascii="Symbol" w:hAnsi="Symbol"/>
      </w:rPr>
    </w:lvl>
    <w:lvl w:ilvl="6" w:tplc="705CFF72">
      <w:start w:val="1"/>
      <w:numFmt w:val="bullet"/>
      <w:lvlText w:val=""/>
      <w:lvlJc w:val="left"/>
      <w:pPr>
        <w:ind w:left="720" w:hanging="360"/>
      </w:pPr>
      <w:rPr>
        <w:rFonts w:ascii="Symbol" w:hAnsi="Symbol"/>
      </w:rPr>
    </w:lvl>
    <w:lvl w:ilvl="7" w:tplc="7A88256C">
      <w:start w:val="1"/>
      <w:numFmt w:val="bullet"/>
      <w:lvlText w:val=""/>
      <w:lvlJc w:val="left"/>
      <w:pPr>
        <w:ind w:left="720" w:hanging="360"/>
      </w:pPr>
      <w:rPr>
        <w:rFonts w:ascii="Symbol" w:hAnsi="Symbol"/>
      </w:rPr>
    </w:lvl>
    <w:lvl w:ilvl="8" w:tplc="17B262EE">
      <w:start w:val="1"/>
      <w:numFmt w:val="bullet"/>
      <w:lvlText w:val=""/>
      <w:lvlJc w:val="left"/>
      <w:pPr>
        <w:ind w:left="720" w:hanging="360"/>
      </w:pPr>
      <w:rPr>
        <w:rFonts w:ascii="Symbol" w:hAnsi="Symbol"/>
      </w:rPr>
    </w:lvl>
  </w:abstractNum>
  <w:abstractNum w:abstractNumId="1" w15:restartNumberingAfterBreak="0">
    <w:nsid w:val="04763F51"/>
    <w:multiLevelType w:val="hybridMultilevel"/>
    <w:tmpl w:val="274E1DC4"/>
    <w:lvl w:ilvl="0" w:tplc="A1188F76">
      <w:start w:val="1"/>
      <w:numFmt w:val="upperRoman"/>
      <w:lvlText w:val="%1."/>
      <w:lvlJc w:val="left"/>
      <w:pPr>
        <w:ind w:left="720" w:hanging="72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 w15:restartNumberingAfterBreak="0">
    <w:nsid w:val="0A2900F7"/>
    <w:multiLevelType w:val="multilevel"/>
    <w:tmpl w:val="18F48788"/>
    <w:name w:val="ListDash4Numbering"/>
    <w:lvl w:ilvl="0">
      <w:start w:val="1"/>
      <w:numFmt w:val="bullet"/>
      <w:pStyle w:val="ListDash4"/>
      <w:lvlText w:val="–"/>
      <w:lvlJc w:val="left"/>
      <w:pPr>
        <w:tabs>
          <w:tab w:val="num" w:pos="3163"/>
        </w:tabs>
        <w:ind w:left="3163" w:hanging="283"/>
      </w:pPr>
      <w:rPr>
        <w:rFonts w:ascii="Times New Roman" w:hAnsi="Times New Roman"/>
      </w:rPr>
    </w:lvl>
    <w:lvl w:ilvl="1">
      <w:start w:val="1"/>
      <w:numFmt w:val="bullet"/>
      <w:pStyle w:val="ListDash4Level2"/>
      <w:lvlText w:val="–"/>
      <w:lvlJc w:val="left"/>
      <w:pPr>
        <w:tabs>
          <w:tab w:val="num" w:pos="3447"/>
        </w:tabs>
        <w:ind w:left="3447" w:hanging="284"/>
      </w:pPr>
      <w:rPr>
        <w:rFonts w:ascii="Times New Roman" w:hAnsi="Times New Roman"/>
      </w:rPr>
    </w:lvl>
    <w:lvl w:ilvl="2">
      <w:start w:val="1"/>
      <w:numFmt w:val="bullet"/>
      <w:pStyle w:val="ListDash4Level3"/>
      <w:lvlText w:val="–"/>
      <w:lvlJc w:val="left"/>
      <w:pPr>
        <w:tabs>
          <w:tab w:val="num" w:pos="3730"/>
        </w:tabs>
        <w:ind w:left="3730" w:hanging="283"/>
      </w:pPr>
      <w:rPr>
        <w:rFonts w:ascii="Times New Roman" w:hAnsi="Times New Roman"/>
      </w:rPr>
    </w:lvl>
    <w:lvl w:ilvl="3">
      <w:start w:val="1"/>
      <w:numFmt w:val="bullet"/>
      <w:pStyle w:val="ListDash4Level4"/>
      <w:lvlText w:val="–"/>
      <w:lvlJc w:val="left"/>
      <w:pPr>
        <w:tabs>
          <w:tab w:val="num" w:pos="4014"/>
        </w:tabs>
        <w:ind w:left="401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0EFB7115"/>
    <w:multiLevelType w:val="multilevel"/>
    <w:tmpl w:val="C0D2C660"/>
    <w:name w:val="ListNumber3Numbering"/>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4"/>
        </w:tabs>
        <w:ind w:left="3334" w:hanging="709"/>
      </w:pPr>
    </w:lvl>
    <w:lvl w:ilvl="2">
      <w:start w:val="1"/>
      <w:numFmt w:val="bullet"/>
      <w:pStyle w:val="ListNumber3Level3"/>
      <w:lvlText w:val="–"/>
      <w:lvlJc w:val="left"/>
      <w:pPr>
        <w:tabs>
          <w:tab w:val="num" w:pos="4042"/>
        </w:tabs>
        <w:ind w:left="4042" w:hanging="708"/>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0F3E696B"/>
    <w:multiLevelType w:val="hybridMultilevel"/>
    <w:tmpl w:val="EBA8501A"/>
    <w:lvl w:ilvl="0" w:tplc="653C33CC">
      <w:start w:val="1"/>
      <w:numFmt w:val="decimal"/>
      <w:lvlText w:val="%1)"/>
      <w:lvlJc w:val="left"/>
      <w:pPr>
        <w:ind w:left="1020" w:hanging="360"/>
      </w:pPr>
    </w:lvl>
    <w:lvl w:ilvl="1" w:tplc="A2B6CBCC">
      <w:start w:val="1"/>
      <w:numFmt w:val="decimal"/>
      <w:lvlText w:val="%2)"/>
      <w:lvlJc w:val="left"/>
      <w:pPr>
        <w:ind w:left="1020" w:hanging="360"/>
      </w:pPr>
    </w:lvl>
    <w:lvl w:ilvl="2" w:tplc="E9644E50">
      <w:start w:val="1"/>
      <w:numFmt w:val="decimal"/>
      <w:lvlText w:val="%3)"/>
      <w:lvlJc w:val="left"/>
      <w:pPr>
        <w:ind w:left="1020" w:hanging="360"/>
      </w:pPr>
    </w:lvl>
    <w:lvl w:ilvl="3" w:tplc="CAC6CD7A">
      <w:start w:val="1"/>
      <w:numFmt w:val="decimal"/>
      <w:lvlText w:val="%4)"/>
      <w:lvlJc w:val="left"/>
      <w:pPr>
        <w:ind w:left="1020" w:hanging="360"/>
      </w:pPr>
    </w:lvl>
    <w:lvl w:ilvl="4" w:tplc="731A30CC">
      <w:start w:val="1"/>
      <w:numFmt w:val="decimal"/>
      <w:lvlText w:val="%5)"/>
      <w:lvlJc w:val="left"/>
      <w:pPr>
        <w:ind w:left="1020" w:hanging="360"/>
      </w:pPr>
    </w:lvl>
    <w:lvl w:ilvl="5" w:tplc="54A6D62A">
      <w:start w:val="1"/>
      <w:numFmt w:val="decimal"/>
      <w:lvlText w:val="%6)"/>
      <w:lvlJc w:val="left"/>
      <w:pPr>
        <w:ind w:left="1020" w:hanging="360"/>
      </w:pPr>
    </w:lvl>
    <w:lvl w:ilvl="6" w:tplc="973E8B64">
      <w:start w:val="1"/>
      <w:numFmt w:val="decimal"/>
      <w:lvlText w:val="%7)"/>
      <w:lvlJc w:val="left"/>
      <w:pPr>
        <w:ind w:left="1020" w:hanging="360"/>
      </w:pPr>
    </w:lvl>
    <w:lvl w:ilvl="7" w:tplc="034E39B4">
      <w:start w:val="1"/>
      <w:numFmt w:val="decimal"/>
      <w:lvlText w:val="%8)"/>
      <w:lvlJc w:val="left"/>
      <w:pPr>
        <w:ind w:left="1020" w:hanging="360"/>
      </w:pPr>
    </w:lvl>
    <w:lvl w:ilvl="8" w:tplc="40A4404E">
      <w:start w:val="1"/>
      <w:numFmt w:val="decimal"/>
      <w:lvlText w:val="%9)"/>
      <w:lvlJc w:val="left"/>
      <w:pPr>
        <w:ind w:left="1020" w:hanging="360"/>
      </w:pPr>
    </w:lvl>
  </w:abstractNum>
  <w:abstractNum w:abstractNumId="5" w15:restartNumberingAfterBreak="0">
    <w:nsid w:val="120B7201"/>
    <w:multiLevelType w:val="multilevel"/>
    <w:tmpl w:val="D1065662"/>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262685D"/>
    <w:multiLevelType w:val="multilevel"/>
    <w:tmpl w:val="14789E64"/>
    <w:name w:val="ListBullet4Numbering"/>
    <w:lvl w:ilvl="0">
      <w:start w:val="1"/>
      <w:numFmt w:val="bullet"/>
      <w:pStyle w:val="ListBullet4"/>
      <w:lvlText w:val=""/>
      <w:lvlJc w:val="left"/>
      <w:pPr>
        <w:tabs>
          <w:tab w:val="num" w:pos="3163"/>
        </w:tabs>
        <w:ind w:left="3163" w:hanging="283"/>
      </w:pPr>
      <w:rPr>
        <w:rFonts w:ascii="Symbol" w:hAnsi="Symbol"/>
      </w:rPr>
    </w:lvl>
    <w:lvl w:ilvl="1">
      <w:start w:val="1"/>
      <w:numFmt w:val="bullet"/>
      <w:pStyle w:val="ListBullet4Level2"/>
      <w:lvlText w:val=""/>
      <w:lvlJc w:val="left"/>
      <w:pPr>
        <w:tabs>
          <w:tab w:val="num" w:pos="3447"/>
        </w:tabs>
        <w:ind w:left="3447" w:hanging="284"/>
      </w:pPr>
      <w:rPr>
        <w:rFonts w:ascii="Symbol" w:hAnsi="Symbol"/>
      </w:rPr>
    </w:lvl>
    <w:lvl w:ilvl="2">
      <w:start w:val="1"/>
      <w:numFmt w:val="bullet"/>
      <w:pStyle w:val="ListBullet4Level3"/>
      <w:lvlText w:val=""/>
      <w:lvlJc w:val="left"/>
      <w:pPr>
        <w:tabs>
          <w:tab w:val="num" w:pos="3730"/>
        </w:tabs>
        <w:ind w:left="3730" w:hanging="283"/>
      </w:pPr>
      <w:rPr>
        <w:rFonts w:ascii="Symbol" w:hAnsi="Symbol"/>
      </w:rPr>
    </w:lvl>
    <w:lvl w:ilvl="3">
      <w:start w:val="1"/>
      <w:numFmt w:val="bullet"/>
      <w:pStyle w:val="ListBullet4Level4"/>
      <w:lvlText w:val=""/>
      <w:lvlJc w:val="left"/>
      <w:pPr>
        <w:tabs>
          <w:tab w:val="num" w:pos="4014"/>
        </w:tabs>
        <w:ind w:left="401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2D06601"/>
    <w:multiLevelType w:val="hybridMultilevel"/>
    <w:tmpl w:val="E032680A"/>
    <w:lvl w:ilvl="0" w:tplc="A04ACBF4">
      <w:start w:val="1"/>
      <w:numFmt w:val="bullet"/>
      <w:lvlText w:val=""/>
      <w:lvlJc w:val="left"/>
      <w:pPr>
        <w:ind w:left="1440" w:hanging="360"/>
      </w:pPr>
      <w:rPr>
        <w:rFonts w:ascii="Symbol" w:hAnsi="Symbol"/>
      </w:rPr>
    </w:lvl>
    <w:lvl w:ilvl="1" w:tplc="DDE43476">
      <w:start w:val="1"/>
      <w:numFmt w:val="bullet"/>
      <w:lvlText w:val=""/>
      <w:lvlJc w:val="left"/>
      <w:pPr>
        <w:ind w:left="1440" w:hanging="360"/>
      </w:pPr>
      <w:rPr>
        <w:rFonts w:ascii="Symbol" w:hAnsi="Symbol"/>
      </w:rPr>
    </w:lvl>
    <w:lvl w:ilvl="2" w:tplc="F65493A4">
      <w:start w:val="1"/>
      <w:numFmt w:val="bullet"/>
      <w:lvlText w:val=""/>
      <w:lvlJc w:val="left"/>
      <w:pPr>
        <w:ind w:left="1440" w:hanging="360"/>
      </w:pPr>
      <w:rPr>
        <w:rFonts w:ascii="Symbol" w:hAnsi="Symbol"/>
      </w:rPr>
    </w:lvl>
    <w:lvl w:ilvl="3" w:tplc="86B6639A">
      <w:start w:val="1"/>
      <w:numFmt w:val="bullet"/>
      <w:lvlText w:val=""/>
      <w:lvlJc w:val="left"/>
      <w:pPr>
        <w:ind w:left="1440" w:hanging="360"/>
      </w:pPr>
      <w:rPr>
        <w:rFonts w:ascii="Symbol" w:hAnsi="Symbol"/>
      </w:rPr>
    </w:lvl>
    <w:lvl w:ilvl="4" w:tplc="9A263D78">
      <w:start w:val="1"/>
      <w:numFmt w:val="bullet"/>
      <w:lvlText w:val=""/>
      <w:lvlJc w:val="left"/>
      <w:pPr>
        <w:ind w:left="1440" w:hanging="360"/>
      </w:pPr>
      <w:rPr>
        <w:rFonts w:ascii="Symbol" w:hAnsi="Symbol"/>
      </w:rPr>
    </w:lvl>
    <w:lvl w:ilvl="5" w:tplc="8C4A8BC8">
      <w:start w:val="1"/>
      <w:numFmt w:val="bullet"/>
      <w:lvlText w:val=""/>
      <w:lvlJc w:val="left"/>
      <w:pPr>
        <w:ind w:left="1440" w:hanging="360"/>
      </w:pPr>
      <w:rPr>
        <w:rFonts w:ascii="Symbol" w:hAnsi="Symbol"/>
      </w:rPr>
    </w:lvl>
    <w:lvl w:ilvl="6" w:tplc="E8FC8BF6">
      <w:start w:val="1"/>
      <w:numFmt w:val="bullet"/>
      <w:lvlText w:val=""/>
      <w:lvlJc w:val="left"/>
      <w:pPr>
        <w:ind w:left="1440" w:hanging="360"/>
      </w:pPr>
      <w:rPr>
        <w:rFonts w:ascii="Symbol" w:hAnsi="Symbol"/>
      </w:rPr>
    </w:lvl>
    <w:lvl w:ilvl="7" w:tplc="D916DBF0">
      <w:start w:val="1"/>
      <w:numFmt w:val="bullet"/>
      <w:lvlText w:val=""/>
      <w:lvlJc w:val="left"/>
      <w:pPr>
        <w:ind w:left="1440" w:hanging="360"/>
      </w:pPr>
      <w:rPr>
        <w:rFonts w:ascii="Symbol" w:hAnsi="Symbol"/>
      </w:rPr>
    </w:lvl>
    <w:lvl w:ilvl="8" w:tplc="4A6C7E50">
      <w:start w:val="1"/>
      <w:numFmt w:val="bullet"/>
      <w:lvlText w:val=""/>
      <w:lvlJc w:val="left"/>
      <w:pPr>
        <w:ind w:left="1440" w:hanging="360"/>
      </w:pPr>
      <w:rPr>
        <w:rFonts w:ascii="Symbol" w:hAnsi="Symbol"/>
      </w:rPr>
    </w:lvl>
  </w:abstractNum>
  <w:abstractNum w:abstractNumId="8" w15:restartNumberingAfterBreak="0">
    <w:nsid w:val="143D0A16"/>
    <w:multiLevelType w:val="multilevel"/>
    <w:tmpl w:val="6F0E0BB2"/>
    <w:name w:val="ListBullet3Numbering"/>
    <w:lvl w:ilvl="0">
      <w:start w:val="1"/>
      <w:numFmt w:val="bullet"/>
      <w:pStyle w:val="ListBullet3"/>
      <w:lvlText w:val=""/>
      <w:lvlJc w:val="left"/>
      <w:pPr>
        <w:tabs>
          <w:tab w:val="num" w:pos="2200"/>
        </w:tabs>
        <w:ind w:left="2200" w:hanging="284"/>
      </w:pPr>
      <w:rPr>
        <w:rFonts w:ascii="Symbol" w:hAnsi="Symbol"/>
      </w:rPr>
    </w:lvl>
    <w:lvl w:ilvl="1">
      <w:start w:val="1"/>
      <w:numFmt w:val="bullet"/>
      <w:pStyle w:val="ListBullet3Level2"/>
      <w:lvlText w:val=""/>
      <w:lvlJc w:val="left"/>
      <w:pPr>
        <w:tabs>
          <w:tab w:val="num" w:pos="2483"/>
        </w:tabs>
        <w:ind w:left="2483" w:hanging="283"/>
      </w:pPr>
      <w:rPr>
        <w:rFonts w:ascii="Symbol" w:hAnsi="Symbol"/>
      </w:rPr>
    </w:lvl>
    <w:lvl w:ilvl="2">
      <w:start w:val="1"/>
      <w:numFmt w:val="bullet"/>
      <w:pStyle w:val="ListBullet3Level3"/>
      <w:lvlText w:val=""/>
      <w:lvlJc w:val="left"/>
      <w:pPr>
        <w:tabs>
          <w:tab w:val="num" w:pos="2767"/>
        </w:tabs>
        <w:ind w:left="2767" w:hanging="284"/>
      </w:pPr>
      <w:rPr>
        <w:rFonts w:ascii="Symbol" w:hAnsi="Symbol"/>
      </w:rPr>
    </w:lvl>
    <w:lvl w:ilvl="3">
      <w:start w:val="1"/>
      <w:numFmt w:val="bullet"/>
      <w:pStyle w:val="ListBullet3Level4"/>
      <w:lvlText w:val=""/>
      <w:lvlJc w:val="left"/>
      <w:pPr>
        <w:tabs>
          <w:tab w:val="num" w:pos="3050"/>
        </w:tabs>
        <w:ind w:left="3050"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14413385"/>
    <w:multiLevelType w:val="hybridMultilevel"/>
    <w:tmpl w:val="AC3039E4"/>
    <w:lvl w:ilvl="0" w:tplc="18090013">
      <w:start w:val="1"/>
      <w:numFmt w:val="upperRoman"/>
      <w:lvlText w:val="%1."/>
      <w:lvlJc w:val="right"/>
      <w:pPr>
        <w:ind w:left="643" w:hanging="360"/>
      </w:pPr>
    </w:lvl>
    <w:lvl w:ilvl="1" w:tplc="18090019" w:tentative="1">
      <w:start w:val="1"/>
      <w:numFmt w:val="lowerLetter"/>
      <w:lvlText w:val="%2."/>
      <w:lvlJc w:val="left"/>
      <w:pPr>
        <w:ind w:left="1221" w:hanging="360"/>
      </w:pPr>
    </w:lvl>
    <w:lvl w:ilvl="2" w:tplc="1809001B" w:tentative="1">
      <w:start w:val="1"/>
      <w:numFmt w:val="lowerRoman"/>
      <w:lvlText w:val="%3."/>
      <w:lvlJc w:val="right"/>
      <w:pPr>
        <w:ind w:left="1941" w:hanging="180"/>
      </w:pPr>
    </w:lvl>
    <w:lvl w:ilvl="3" w:tplc="1809000F" w:tentative="1">
      <w:start w:val="1"/>
      <w:numFmt w:val="decimal"/>
      <w:lvlText w:val="%4."/>
      <w:lvlJc w:val="left"/>
      <w:pPr>
        <w:ind w:left="2661" w:hanging="360"/>
      </w:pPr>
    </w:lvl>
    <w:lvl w:ilvl="4" w:tplc="18090019" w:tentative="1">
      <w:start w:val="1"/>
      <w:numFmt w:val="lowerLetter"/>
      <w:lvlText w:val="%5."/>
      <w:lvlJc w:val="left"/>
      <w:pPr>
        <w:ind w:left="3381" w:hanging="360"/>
      </w:pPr>
    </w:lvl>
    <w:lvl w:ilvl="5" w:tplc="1809001B" w:tentative="1">
      <w:start w:val="1"/>
      <w:numFmt w:val="lowerRoman"/>
      <w:lvlText w:val="%6."/>
      <w:lvlJc w:val="right"/>
      <w:pPr>
        <w:ind w:left="4101" w:hanging="180"/>
      </w:pPr>
    </w:lvl>
    <w:lvl w:ilvl="6" w:tplc="1809000F" w:tentative="1">
      <w:start w:val="1"/>
      <w:numFmt w:val="decimal"/>
      <w:lvlText w:val="%7."/>
      <w:lvlJc w:val="left"/>
      <w:pPr>
        <w:ind w:left="4821" w:hanging="360"/>
      </w:pPr>
    </w:lvl>
    <w:lvl w:ilvl="7" w:tplc="18090019" w:tentative="1">
      <w:start w:val="1"/>
      <w:numFmt w:val="lowerLetter"/>
      <w:lvlText w:val="%8."/>
      <w:lvlJc w:val="left"/>
      <w:pPr>
        <w:ind w:left="5541" w:hanging="360"/>
      </w:pPr>
    </w:lvl>
    <w:lvl w:ilvl="8" w:tplc="1809001B" w:tentative="1">
      <w:start w:val="1"/>
      <w:numFmt w:val="lowerRoman"/>
      <w:lvlText w:val="%9."/>
      <w:lvlJc w:val="right"/>
      <w:pPr>
        <w:ind w:left="6261" w:hanging="180"/>
      </w:pPr>
    </w:lvl>
  </w:abstractNum>
  <w:abstractNum w:abstractNumId="10" w15:restartNumberingAfterBreak="0">
    <w:nsid w:val="14FA68C3"/>
    <w:multiLevelType w:val="hybridMultilevel"/>
    <w:tmpl w:val="5D82DD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155044BF"/>
    <w:multiLevelType w:val="hybridMultilevel"/>
    <w:tmpl w:val="214A9B48"/>
    <w:lvl w:ilvl="0" w:tplc="91D89A60">
      <w:start w:val="1"/>
      <w:numFmt w:val="bullet"/>
      <w:lvlText w:val=""/>
      <w:lvlJc w:val="left"/>
      <w:pPr>
        <w:ind w:left="720" w:hanging="360"/>
      </w:pPr>
      <w:rPr>
        <w:rFonts w:ascii="Symbol" w:hAnsi="Symbol"/>
      </w:rPr>
    </w:lvl>
    <w:lvl w:ilvl="1" w:tplc="F1282EFC">
      <w:start w:val="1"/>
      <w:numFmt w:val="bullet"/>
      <w:lvlText w:val=""/>
      <w:lvlJc w:val="left"/>
      <w:pPr>
        <w:ind w:left="720" w:hanging="360"/>
      </w:pPr>
      <w:rPr>
        <w:rFonts w:ascii="Symbol" w:hAnsi="Symbol"/>
      </w:rPr>
    </w:lvl>
    <w:lvl w:ilvl="2" w:tplc="FB38355C">
      <w:start w:val="1"/>
      <w:numFmt w:val="bullet"/>
      <w:lvlText w:val=""/>
      <w:lvlJc w:val="left"/>
      <w:pPr>
        <w:ind w:left="720" w:hanging="360"/>
      </w:pPr>
      <w:rPr>
        <w:rFonts w:ascii="Symbol" w:hAnsi="Symbol"/>
      </w:rPr>
    </w:lvl>
    <w:lvl w:ilvl="3" w:tplc="5DDE9C4E">
      <w:start w:val="1"/>
      <w:numFmt w:val="bullet"/>
      <w:lvlText w:val=""/>
      <w:lvlJc w:val="left"/>
      <w:pPr>
        <w:ind w:left="720" w:hanging="360"/>
      </w:pPr>
      <w:rPr>
        <w:rFonts w:ascii="Symbol" w:hAnsi="Symbol"/>
      </w:rPr>
    </w:lvl>
    <w:lvl w:ilvl="4" w:tplc="F4CE21E4">
      <w:start w:val="1"/>
      <w:numFmt w:val="bullet"/>
      <w:lvlText w:val=""/>
      <w:lvlJc w:val="left"/>
      <w:pPr>
        <w:ind w:left="720" w:hanging="360"/>
      </w:pPr>
      <w:rPr>
        <w:rFonts w:ascii="Symbol" w:hAnsi="Symbol"/>
      </w:rPr>
    </w:lvl>
    <w:lvl w:ilvl="5" w:tplc="83E426F0">
      <w:start w:val="1"/>
      <w:numFmt w:val="bullet"/>
      <w:lvlText w:val=""/>
      <w:lvlJc w:val="left"/>
      <w:pPr>
        <w:ind w:left="720" w:hanging="360"/>
      </w:pPr>
      <w:rPr>
        <w:rFonts w:ascii="Symbol" w:hAnsi="Symbol"/>
      </w:rPr>
    </w:lvl>
    <w:lvl w:ilvl="6" w:tplc="43B8368C">
      <w:start w:val="1"/>
      <w:numFmt w:val="bullet"/>
      <w:lvlText w:val=""/>
      <w:lvlJc w:val="left"/>
      <w:pPr>
        <w:ind w:left="720" w:hanging="360"/>
      </w:pPr>
      <w:rPr>
        <w:rFonts w:ascii="Symbol" w:hAnsi="Symbol"/>
      </w:rPr>
    </w:lvl>
    <w:lvl w:ilvl="7" w:tplc="2752E042">
      <w:start w:val="1"/>
      <w:numFmt w:val="bullet"/>
      <w:lvlText w:val=""/>
      <w:lvlJc w:val="left"/>
      <w:pPr>
        <w:ind w:left="720" w:hanging="360"/>
      </w:pPr>
      <w:rPr>
        <w:rFonts w:ascii="Symbol" w:hAnsi="Symbol"/>
      </w:rPr>
    </w:lvl>
    <w:lvl w:ilvl="8" w:tplc="BF86F2F0">
      <w:start w:val="1"/>
      <w:numFmt w:val="bullet"/>
      <w:lvlText w:val=""/>
      <w:lvlJc w:val="left"/>
      <w:pPr>
        <w:ind w:left="720" w:hanging="360"/>
      </w:pPr>
      <w:rPr>
        <w:rFonts w:ascii="Symbol" w:hAnsi="Symbol"/>
      </w:rPr>
    </w:lvl>
  </w:abstractNum>
  <w:abstractNum w:abstractNumId="12" w15:restartNumberingAfterBreak="0">
    <w:nsid w:val="16DF27EB"/>
    <w:multiLevelType w:val="hybridMultilevel"/>
    <w:tmpl w:val="34AAE292"/>
    <w:lvl w:ilvl="0" w:tplc="A44693DC">
      <w:start w:val="1"/>
      <w:numFmt w:val="decimal"/>
      <w:lvlText w:val="%1)"/>
      <w:lvlJc w:val="left"/>
      <w:pPr>
        <w:ind w:left="1020" w:hanging="360"/>
      </w:pPr>
    </w:lvl>
    <w:lvl w:ilvl="1" w:tplc="00AAC084">
      <w:start w:val="1"/>
      <w:numFmt w:val="decimal"/>
      <w:lvlText w:val="%2)"/>
      <w:lvlJc w:val="left"/>
      <w:pPr>
        <w:ind w:left="1020" w:hanging="360"/>
      </w:pPr>
    </w:lvl>
    <w:lvl w:ilvl="2" w:tplc="126AD3F0">
      <w:start w:val="1"/>
      <w:numFmt w:val="decimal"/>
      <w:lvlText w:val="%3)"/>
      <w:lvlJc w:val="left"/>
      <w:pPr>
        <w:ind w:left="1020" w:hanging="360"/>
      </w:pPr>
    </w:lvl>
    <w:lvl w:ilvl="3" w:tplc="51DE02DE">
      <w:start w:val="1"/>
      <w:numFmt w:val="decimal"/>
      <w:lvlText w:val="%4)"/>
      <w:lvlJc w:val="left"/>
      <w:pPr>
        <w:ind w:left="1020" w:hanging="360"/>
      </w:pPr>
    </w:lvl>
    <w:lvl w:ilvl="4" w:tplc="59800E7A">
      <w:start w:val="1"/>
      <w:numFmt w:val="decimal"/>
      <w:lvlText w:val="%5)"/>
      <w:lvlJc w:val="left"/>
      <w:pPr>
        <w:ind w:left="1020" w:hanging="360"/>
      </w:pPr>
    </w:lvl>
    <w:lvl w:ilvl="5" w:tplc="BA82BD22">
      <w:start w:val="1"/>
      <w:numFmt w:val="decimal"/>
      <w:lvlText w:val="%6)"/>
      <w:lvlJc w:val="left"/>
      <w:pPr>
        <w:ind w:left="1020" w:hanging="360"/>
      </w:pPr>
    </w:lvl>
    <w:lvl w:ilvl="6" w:tplc="70E69364">
      <w:start w:val="1"/>
      <w:numFmt w:val="decimal"/>
      <w:lvlText w:val="%7)"/>
      <w:lvlJc w:val="left"/>
      <w:pPr>
        <w:ind w:left="1020" w:hanging="360"/>
      </w:pPr>
    </w:lvl>
    <w:lvl w:ilvl="7" w:tplc="07466496">
      <w:start w:val="1"/>
      <w:numFmt w:val="decimal"/>
      <w:lvlText w:val="%8)"/>
      <w:lvlJc w:val="left"/>
      <w:pPr>
        <w:ind w:left="1020" w:hanging="360"/>
      </w:pPr>
    </w:lvl>
    <w:lvl w:ilvl="8" w:tplc="35822734">
      <w:start w:val="1"/>
      <w:numFmt w:val="decimal"/>
      <w:lvlText w:val="%9)"/>
      <w:lvlJc w:val="left"/>
      <w:pPr>
        <w:ind w:left="1020" w:hanging="360"/>
      </w:pPr>
    </w:lvl>
  </w:abstractNum>
  <w:abstractNum w:abstractNumId="13" w15:restartNumberingAfterBreak="0">
    <w:nsid w:val="172F0AC5"/>
    <w:multiLevelType w:val="multilevel"/>
    <w:tmpl w:val="4E94D688"/>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1B972004"/>
    <w:multiLevelType w:val="hybridMultilevel"/>
    <w:tmpl w:val="80D8607A"/>
    <w:lvl w:ilvl="0" w:tplc="1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1BCC0B60"/>
    <w:multiLevelType w:val="hybridMultilevel"/>
    <w:tmpl w:val="0EF66D7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6" w15:restartNumberingAfterBreak="0">
    <w:nsid w:val="1C7B624F"/>
    <w:multiLevelType w:val="multilevel"/>
    <w:tmpl w:val="72B63690"/>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22E856B3"/>
    <w:multiLevelType w:val="hybridMultilevel"/>
    <w:tmpl w:val="B048599A"/>
    <w:lvl w:ilvl="0" w:tplc="1720A264">
      <w:start w:val="1"/>
      <w:numFmt w:val="decimal"/>
      <w:lvlText w:val="%1)"/>
      <w:lvlJc w:val="left"/>
      <w:pPr>
        <w:ind w:left="1020" w:hanging="360"/>
      </w:pPr>
    </w:lvl>
    <w:lvl w:ilvl="1" w:tplc="DF8C913E">
      <w:start w:val="1"/>
      <w:numFmt w:val="upperLetter"/>
      <w:lvlText w:val="%2)"/>
      <w:lvlJc w:val="left"/>
      <w:pPr>
        <w:ind w:left="1740" w:hanging="360"/>
      </w:pPr>
    </w:lvl>
    <w:lvl w:ilvl="2" w:tplc="E31A0154">
      <w:start w:val="1"/>
      <w:numFmt w:val="decimal"/>
      <w:lvlText w:val="%3)"/>
      <w:lvlJc w:val="left"/>
      <w:pPr>
        <w:ind w:left="1020" w:hanging="360"/>
      </w:pPr>
    </w:lvl>
    <w:lvl w:ilvl="3" w:tplc="5628D256">
      <w:start w:val="1"/>
      <w:numFmt w:val="decimal"/>
      <w:lvlText w:val="%4)"/>
      <w:lvlJc w:val="left"/>
      <w:pPr>
        <w:ind w:left="1020" w:hanging="360"/>
      </w:pPr>
    </w:lvl>
    <w:lvl w:ilvl="4" w:tplc="C7E2C51C">
      <w:start w:val="1"/>
      <w:numFmt w:val="decimal"/>
      <w:lvlText w:val="%5)"/>
      <w:lvlJc w:val="left"/>
      <w:pPr>
        <w:ind w:left="1020" w:hanging="360"/>
      </w:pPr>
    </w:lvl>
    <w:lvl w:ilvl="5" w:tplc="5CF23B60">
      <w:start w:val="1"/>
      <w:numFmt w:val="decimal"/>
      <w:lvlText w:val="%6)"/>
      <w:lvlJc w:val="left"/>
      <w:pPr>
        <w:ind w:left="1020" w:hanging="360"/>
      </w:pPr>
    </w:lvl>
    <w:lvl w:ilvl="6" w:tplc="639A76E2">
      <w:start w:val="1"/>
      <w:numFmt w:val="decimal"/>
      <w:lvlText w:val="%7)"/>
      <w:lvlJc w:val="left"/>
      <w:pPr>
        <w:ind w:left="1020" w:hanging="360"/>
      </w:pPr>
    </w:lvl>
    <w:lvl w:ilvl="7" w:tplc="5FCEB994">
      <w:start w:val="1"/>
      <w:numFmt w:val="decimal"/>
      <w:lvlText w:val="%8)"/>
      <w:lvlJc w:val="left"/>
      <w:pPr>
        <w:ind w:left="1020" w:hanging="360"/>
      </w:pPr>
    </w:lvl>
    <w:lvl w:ilvl="8" w:tplc="EE9C79F2">
      <w:start w:val="1"/>
      <w:numFmt w:val="decimal"/>
      <w:lvlText w:val="%9)"/>
      <w:lvlJc w:val="left"/>
      <w:pPr>
        <w:ind w:left="1020" w:hanging="360"/>
      </w:pPr>
    </w:lvl>
  </w:abstractNum>
  <w:abstractNum w:abstractNumId="18" w15:restartNumberingAfterBreak="0">
    <w:nsid w:val="2C382EAB"/>
    <w:multiLevelType w:val="hybridMultilevel"/>
    <w:tmpl w:val="02B08754"/>
    <w:lvl w:ilvl="0" w:tplc="077209C4">
      <w:start w:val="1"/>
      <w:numFmt w:val="decimal"/>
      <w:lvlText w:val="%1)"/>
      <w:lvlJc w:val="left"/>
      <w:pPr>
        <w:ind w:left="1020" w:hanging="360"/>
      </w:pPr>
    </w:lvl>
    <w:lvl w:ilvl="1" w:tplc="074A0D6C">
      <w:start w:val="1"/>
      <w:numFmt w:val="decimal"/>
      <w:lvlText w:val="%2)"/>
      <w:lvlJc w:val="left"/>
      <w:pPr>
        <w:ind w:left="1020" w:hanging="360"/>
      </w:pPr>
    </w:lvl>
    <w:lvl w:ilvl="2" w:tplc="61D21E28">
      <w:start w:val="1"/>
      <w:numFmt w:val="decimal"/>
      <w:lvlText w:val="%3)"/>
      <w:lvlJc w:val="left"/>
      <w:pPr>
        <w:ind w:left="1020" w:hanging="360"/>
      </w:pPr>
    </w:lvl>
    <w:lvl w:ilvl="3" w:tplc="59CA0DD2">
      <w:start w:val="1"/>
      <w:numFmt w:val="decimal"/>
      <w:lvlText w:val="%4)"/>
      <w:lvlJc w:val="left"/>
      <w:pPr>
        <w:ind w:left="1020" w:hanging="360"/>
      </w:pPr>
    </w:lvl>
    <w:lvl w:ilvl="4" w:tplc="9094EF16">
      <w:start w:val="1"/>
      <w:numFmt w:val="decimal"/>
      <w:lvlText w:val="%5)"/>
      <w:lvlJc w:val="left"/>
      <w:pPr>
        <w:ind w:left="1020" w:hanging="360"/>
      </w:pPr>
    </w:lvl>
    <w:lvl w:ilvl="5" w:tplc="E1BC6E60">
      <w:start w:val="1"/>
      <w:numFmt w:val="decimal"/>
      <w:lvlText w:val="%6)"/>
      <w:lvlJc w:val="left"/>
      <w:pPr>
        <w:ind w:left="1020" w:hanging="360"/>
      </w:pPr>
    </w:lvl>
    <w:lvl w:ilvl="6" w:tplc="EC786E10">
      <w:start w:val="1"/>
      <w:numFmt w:val="decimal"/>
      <w:lvlText w:val="%7)"/>
      <w:lvlJc w:val="left"/>
      <w:pPr>
        <w:ind w:left="1020" w:hanging="360"/>
      </w:pPr>
    </w:lvl>
    <w:lvl w:ilvl="7" w:tplc="B770DEA4">
      <w:start w:val="1"/>
      <w:numFmt w:val="decimal"/>
      <w:lvlText w:val="%8)"/>
      <w:lvlJc w:val="left"/>
      <w:pPr>
        <w:ind w:left="1020" w:hanging="360"/>
      </w:pPr>
    </w:lvl>
    <w:lvl w:ilvl="8" w:tplc="B3D801AC">
      <w:start w:val="1"/>
      <w:numFmt w:val="decimal"/>
      <w:lvlText w:val="%9)"/>
      <w:lvlJc w:val="left"/>
      <w:pPr>
        <w:ind w:left="1020" w:hanging="360"/>
      </w:pPr>
    </w:lvl>
  </w:abstractNum>
  <w:abstractNum w:abstractNumId="19" w15:restartNumberingAfterBreak="0">
    <w:nsid w:val="2C8DFDF8"/>
    <w:multiLevelType w:val="multilevel"/>
    <w:tmpl w:val="BA084E0A"/>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2D293CE3"/>
    <w:multiLevelType w:val="multilevel"/>
    <w:tmpl w:val="EA1E1D24"/>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2D293CF4"/>
    <w:multiLevelType w:val="multilevel"/>
    <w:tmpl w:val="FFCA7A0E"/>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31205795"/>
    <w:multiLevelType w:val="hybridMultilevel"/>
    <w:tmpl w:val="1A9671E8"/>
    <w:lvl w:ilvl="0" w:tplc="ED36B4A8">
      <w:start w:val="1"/>
      <w:numFmt w:val="upperRoman"/>
      <w:lvlText w:val="%1."/>
      <w:lvlJc w:val="left"/>
      <w:pPr>
        <w:ind w:left="990" w:hanging="720"/>
      </w:pPr>
      <w:rPr>
        <w:rFonts w:hint="default"/>
        <w:u w:val="none"/>
      </w:rPr>
    </w:lvl>
    <w:lvl w:ilvl="1" w:tplc="040C0019">
      <w:start w:val="1"/>
      <w:numFmt w:val="lowerLetter"/>
      <w:lvlText w:val="%2."/>
      <w:lvlJc w:val="left"/>
      <w:pPr>
        <w:ind w:left="1350" w:hanging="360"/>
      </w:pPr>
    </w:lvl>
    <w:lvl w:ilvl="2" w:tplc="040C001B" w:tentative="1">
      <w:start w:val="1"/>
      <w:numFmt w:val="lowerRoman"/>
      <w:lvlText w:val="%3."/>
      <w:lvlJc w:val="right"/>
      <w:pPr>
        <w:ind w:left="2070" w:hanging="180"/>
      </w:pPr>
    </w:lvl>
    <w:lvl w:ilvl="3" w:tplc="040C000F" w:tentative="1">
      <w:start w:val="1"/>
      <w:numFmt w:val="decimal"/>
      <w:lvlText w:val="%4."/>
      <w:lvlJc w:val="left"/>
      <w:pPr>
        <w:ind w:left="2790" w:hanging="360"/>
      </w:pPr>
    </w:lvl>
    <w:lvl w:ilvl="4" w:tplc="040C0019" w:tentative="1">
      <w:start w:val="1"/>
      <w:numFmt w:val="lowerLetter"/>
      <w:lvlText w:val="%5."/>
      <w:lvlJc w:val="left"/>
      <w:pPr>
        <w:ind w:left="3510" w:hanging="360"/>
      </w:pPr>
    </w:lvl>
    <w:lvl w:ilvl="5" w:tplc="040C001B" w:tentative="1">
      <w:start w:val="1"/>
      <w:numFmt w:val="lowerRoman"/>
      <w:lvlText w:val="%6."/>
      <w:lvlJc w:val="right"/>
      <w:pPr>
        <w:ind w:left="4230" w:hanging="180"/>
      </w:pPr>
    </w:lvl>
    <w:lvl w:ilvl="6" w:tplc="040C000F" w:tentative="1">
      <w:start w:val="1"/>
      <w:numFmt w:val="decimal"/>
      <w:lvlText w:val="%7."/>
      <w:lvlJc w:val="left"/>
      <w:pPr>
        <w:ind w:left="4950" w:hanging="360"/>
      </w:pPr>
    </w:lvl>
    <w:lvl w:ilvl="7" w:tplc="040C0019" w:tentative="1">
      <w:start w:val="1"/>
      <w:numFmt w:val="lowerLetter"/>
      <w:lvlText w:val="%8."/>
      <w:lvlJc w:val="left"/>
      <w:pPr>
        <w:ind w:left="5670" w:hanging="360"/>
      </w:pPr>
    </w:lvl>
    <w:lvl w:ilvl="8" w:tplc="040C001B" w:tentative="1">
      <w:start w:val="1"/>
      <w:numFmt w:val="lowerRoman"/>
      <w:lvlText w:val="%9."/>
      <w:lvlJc w:val="right"/>
      <w:pPr>
        <w:ind w:left="6390" w:hanging="180"/>
      </w:pPr>
    </w:lvl>
  </w:abstractNum>
  <w:abstractNum w:abstractNumId="23" w15:restartNumberingAfterBreak="0">
    <w:nsid w:val="36324F1E"/>
    <w:multiLevelType w:val="multilevel"/>
    <w:tmpl w:val="8F6236B4"/>
    <w:name w:val="ListDash3Numbering"/>
    <w:lvl w:ilvl="0">
      <w:start w:val="1"/>
      <w:numFmt w:val="bullet"/>
      <w:pStyle w:val="ListDash3"/>
      <w:lvlText w:val="–"/>
      <w:lvlJc w:val="left"/>
      <w:pPr>
        <w:tabs>
          <w:tab w:val="num" w:pos="2200"/>
        </w:tabs>
        <w:ind w:left="2200" w:hanging="284"/>
      </w:pPr>
      <w:rPr>
        <w:rFonts w:ascii="Times New Roman" w:hAnsi="Times New Roman"/>
      </w:rPr>
    </w:lvl>
    <w:lvl w:ilvl="1">
      <w:start w:val="1"/>
      <w:numFmt w:val="bullet"/>
      <w:pStyle w:val="ListDash3Level2"/>
      <w:lvlText w:val="–"/>
      <w:lvlJc w:val="left"/>
      <w:pPr>
        <w:tabs>
          <w:tab w:val="num" w:pos="2483"/>
        </w:tabs>
        <w:ind w:left="2483" w:hanging="283"/>
      </w:pPr>
      <w:rPr>
        <w:rFonts w:ascii="Times New Roman" w:hAnsi="Times New Roman"/>
      </w:rPr>
    </w:lvl>
    <w:lvl w:ilvl="2">
      <w:start w:val="1"/>
      <w:numFmt w:val="bullet"/>
      <w:pStyle w:val="ListDash3Level3"/>
      <w:lvlText w:val="–"/>
      <w:lvlJc w:val="left"/>
      <w:pPr>
        <w:tabs>
          <w:tab w:val="num" w:pos="2767"/>
        </w:tabs>
        <w:ind w:left="2767" w:hanging="284"/>
      </w:pPr>
      <w:rPr>
        <w:rFonts w:ascii="Times New Roman" w:hAnsi="Times New Roman"/>
      </w:rPr>
    </w:lvl>
    <w:lvl w:ilvl="3">
      <w:start w:val="1"/>
      <w:numFmt w:val="bullet"/>
      <w:pStyle w:val="ListDash3Level4"/>
      <w:lvlText w:val="–"/>
      <w:lvlJc w:val="left"/>
      <w:pPr>
        <w:tabs>
          <w:tab w:val="num" w:pos="3050"/>
        </w:tabs>
        <w:ind w:left="3050"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4" w15:restartNumberingAfterBreak="0">
    <w:nsid w:val="37CB1E1C"/>
    <w:multiLevelType w:val="multilevel"/>
    <w:tmpl w:val="CE7AB1C6"/>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386A075F"/>
    <w:multiLevelType w:val="hybridMultilevel"/>
    <w:tmpl w:val="E500F7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3A0B6F5D"/>
    <w:multiLevelType w:val="hybridMultilevel"/>
    <w:tmpl w:val="C988F7FA"/>
    <w:lvl w:ilvl="0" w:tplc="9B54826E">
      <w:start w:val="1"/>
      <w:numFmt w:val="decimal"/>
      <w:lvlText w:val="%1)"/>
      <w:lvlJc w:val="left"/>
      <w:pPr>
        <w:ind w:left="1020" w:hanging="360"/>
      </w:pPr>
    </w:lvl>
    <w:lvl w:ilvl="1" w:tplc="DC02E598">
      <w:start w:val="1"/>
      <w:numFmt w:val="upperLetter"/>
      <w:lvlText w:val="%2)"/>
      <w:lvlJc w:val="left"/>
      <w:pPr>
        <w:ind w:left="1740" w:hanging="360"/>
      </w:pPr>
    </w:lvl>
    <w:lvl w:ilvl="2" w:tplc="F074393E">
      <w:start w:val="1"/>
      <w:numFmt w:val="decimal"/>
      <w:lvlText w:val="%3)"/>
      <w:lvlJc w:val="left"/>
      <w:pPr>
        <w:ind w:left="1020" w:hanging="360"/>
      </w:pPr>
    </w:lvl>
    <w:lvl w:ilvl="3" w:tplc="657A8E94">
      <w:start w:val="1"/>
      <w:numFmt w:val="decimal"/>
      <w:lvlText w:val="%4)"/>
      <w:lvlJc w:val="left"/>
      <w:pPr>
        <w:ind w:left="1020" w:hanging="360"/>
      </w:pPr>
    </w:lvl>
    <w:lvl w:ilvl="4" w:tplc="337A1DE4">
      <w:start w:val="1"/>
      <w:numFmt w:val="decimal"/>
      <w:lvlText w:val="%5)"/>
      <w:lvlJc w:val="left"/>
      <w:pPr>
        <w:ind w:left="1020" w:hanging="360"/>
      </w:pPr>
    </w:lvl>
    <w:lvl w:ilvl="5" w:tplc="02B41888">
      <w:start w:val="1"/>
      <w:numFmt w:val="decimal"/>
      <w:lvlText w:val="%6)"/>
      <w:lvlJc w:val="left"/>
      <w:pPr>
        <w:ind w:left="1020" w:hanging="360"/>
      </w:pPr>
    </w:lvl>
    <w:lvl w:ilvl="6" w:tplc="965A77DC">
      <w:start w:val="1"/>
      <w:numFmt w:val="decimal"/>
      <w:lvlText w:val="%7)"/>
      <w:lvlJc w:val="left"/>
      <w:pPr>
        <w:ind w:left="1020" w:hanging="360"/>
      </w:pPr>
    </w:lvl>
    <w:lvl w:ilvl="7" w:tplc="B47A519C">
      <w:start w:val="1"/>
      <w:numFmt w:val="decimal"/>
      <w:lvlText w:val="%8)"/>
      <w:lvlJc w:val="left"/>
      <w:pPr>
        <w:ind w:left="1020" w:hanging="360"/>
      </w:pPr>
    </w:lvl>
    <w:lvl w:ilvl="8" w:tplc="56267DB2">
      <w:start w:val="1"/>
      <w:numFmt w:val="decimal"/>
      <w:lvlText w:val="%9)"/>
      <w:lvlJc w:val="left"/>
      <w:pPr>
        <w:ind w:left="1020" w:hanging="360"/>
      </w:pPr>
    </w:lvl>
  </w:abstractNum>
  <w:abstractNum w:abstractNumId="27" w15:restartNumberingAfterBreak="0">
    <w:nsid w:val="3A7730C4"/>
    <w:multiLevelType w:val="multilevel"/>
    <w:tmpl w:val="9D925636"/>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8" w15:restartNumberingAfterBreak="0">
    <w:nsid w:val="3C6D68D4"/>
    <w:multiLevelType w:val="hybridMultilevel"/>
    <w:tmpl w:val="D042FE58"/>
    <w:lvl w:ilvl="0" w:tplc="3D5EB90C">
      <w:start w:val="1"/>
      <w:numFmt w:val="decimal"/>
      <w:lvlText w:val="%1)"/>
      <w:lvlJc w:val="left"/>
      <w:pPr>
        <w:ind w:left="1020" w:hanging="360"/>
      </w:pPr>
    </w:lvl>
    <w:lvl w:ilvl="1" w:tplc="996E9198">
      <w:start w:val="1"/>
      <w:numFmt w:val="decimal"/>
      <w:lvlText w:val="%2)"/>
      <w:lvlJc w:val="left"/>
      <w:pPr>
        <w:ind w:left="1020" w:hanging="360"/>
      </w:pPr>
    </w:lvl>
    <w:lvl w:ilvl="2" w:tplc="1058752A">
      <w:start w:val="1"/>
      <w:numFmt w:val="decimal"/>
      <w:lvlText w:val="%3)"/>
      <w:lvlJc w:val="left"/>
      <w:pPr>
        <w:ind w:left="1020" w:hanging="360"/>
      </w:pPr>
    </w:lvl>
    <w:lvl w:ilvl="3" w:tplc="2C38D282">
      <w:start w:val="1"/>
      <w:numFmt w:val="decimal"/>
      <w:lvlText w:val="%4)"/>
      <w:lvlJc w:val="left"/>
      <w:pPr>
        <w:ind w:left="1020" w:hanging="360"/>
      </w:pPr>
    </w:lvl>
    <w:lvl w:ilvl="4" w:tplc="5B820CD4">
      <w:start w:val="1"/>
      <w:numFmt w:val="decimal"/>
      <w:lvlText w:val="%5)"/>
      <w:lvlJc w:val="left"/>
      <w:pPr>
        <w:ind w:left="1020" w:hanging="360"/>
      </w:pPr>
    </w:lvl>
    <w:lvl w:ilvl="5" w:tplc="939C4EC6">
      <w:start w:val="1"/>
      <w:numFmt w:val="decimal"/>
      <w:lvlText w:val="%6)"/>
      <w:lvlJc w:val="left"/>
      <w:pPr>
        <w:ind w:left="1020" w:hanging="360"/>
      </w:pPr>
    </w:lvl>
    <w:lvl w:ilvl="6" w:tplc="742C2338">
      <w:start w:val="1"/>
      <w:numFmt w:val="decimal"/>
      <w:lvlText w:val="%7)"/>
      <w:lvlJc w:val="left"/>
      <w:pPr>
        <w:ind w:left="1020" w:hanging="360"/>
      </w:pPr>
    </w:lvl>
    <w:lvl w:ilvl="7" w:tplc="98104632">
      <w:start w:val="1"/>
      <w:numFmt w:val="decimal"/>
      <w:lvlText w:val="%8)"/>
      <w:lvlJc w:val="left"/>
      <w:pPr>
        <w:ind w:left="1020" w:hanging="360"/>
      </w:pPr>
    </w:lvl>
    <w:lvl w:ilvl="8" w:tplc="53C63A1A">
      <w:start w:val="1"/>
      <w:numFmt w:val="decimal"/>
      <w:lvlText w:val="%9)"/>
      <w:lvlJc w:val="left"/>
      <w:pPr>
        <w:ind w:left="1020" w:hanging="360"/>
      </w:pPr>
    </w:lvl>
  </w:abstractNum>
  <w:abstractNum w:abstractNumId="29" w15:restartNumberingAfterBreak="0">
    <w:nsid w:val="429E662A"/>
    <w:multiLevelType w:val="multilevel"/>
    <w:tmpl w:val="8500BCE6"/>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0" w15:restartNumberingAfterBreak="0">
    <w:nsid w:val="434A3511"/>
    <w:multiLevelType w:val="hybridMultilevel"/>
    <w:tmpl w:val="4EF43E60"/>
    <w:lvl w:ilvl="0" w:tplc="3970EC7E">
      <w:start w:val="1"/>
      <w:numFmt w:val="decimal"/>
      <w:lvlText w:val="%1)"/>
      <w:lvlJc w:val="left"/>
      <w:pPr>
        <w:ind w:left="1020" w:hanging="360"/>
      </w:pPr>
    </w:lvl>
    <w:lvl w:ilvl="1" w:tplc="414A1E3C">
      <w:start w:val="1"/>
      <w:numFmt w:val="upperLetter"/>
      <w:lvlText w:val="%2)"/>
      <w:lvlJc w:val="left"/>
      <w:pPr>
        <w:ind w:left="1740" w:hanging="360"/>
      </w:pPr>
    </w:lvl>
    <w:lvl w:ilvl="2" w:tplc="73724186">
      <w:start w:val="1"/>
      <w:numFmt w:val="decimal"/>
      <w:lvlText w:val="%3)"/>
      <w:lvlJc w:val="left"/>
      <w:pPr>
        <w:ind w:left="1020" w:hanging="360"/>
      </w:pPr>
    </w:lvl>
    <w:lvl w:ilvl="3" w:tplc="1BB44214">
      <w:start w:val="1"/>
      <w:numFmt w:val="decimal"/>
      <w:lvlText w:val="%4)"/>
      <w:lvlJc w:val="left"/>
      <w:pPr>
        <w:ind w:left="1020" w:hanging="360"/>
      </w:pPr>
    </w:lvl>
    <w:lvl w:ilvl="4" w:tplc="55ECA778">
      <w:start w:val="1"/>
      <w:numFmt w:val="decimal"/>
      <w:lvlText w:val="%5)"/>
      <w:lvlJc w:val="left"/>
      <w:pPr>
        <w:ind w:left="1020" w:hanging="360"/>
      </w:pPr>
    </w:lvl>
    <w:lvl w:ilvl="5" w:tplc="1AFC8196">
      <w:start w:val="1"/>
      <w:numFmt w:val="decimal"/>
      <w:lvlText w:val="%6)"/>
      <w:lvlJc w:val="left"/>
      <w:pPr>
        <w:ind w:left="1020" w:hanging="360"/>
      </w:pPr>
    </w:lvl>
    <w:lvl w:ilvl="6" w:tplc="BE344DEA">
      <w:start w:val="1"/>
      <w:numFmt w:val="decimal"/>
      <w:lvlText w:val="%7)"/>
      <w:lvlJc w:val="left"/>
      <w:pPr>
        <w:ind w:left="1020" w:hanging="360"/>
      </w:pPr>
    </w:lvl>
    <w:lvl w:ilvl="7" w:tplc="666E0648">
      <w:start w:val="1"/>
      <w:numFmt w:val="decimal"/>
      <w:lvlText w:val="%8)"/>
      <w:lvlJc w:val="left"/>
      <w:pPr>
        <w:ind w:left="1020" w:hanging="360"/>
      </w:pPr>
    </w:lvl>
    <w:lvl w:ilvl="8" w:tplc="4D08BC1E">
      <w:start w:val="1"/>
      <w:numFmt w:val="decimal"/>
      <w:lvlText w:val="%9)"/>
      <w:lvlJc w:val="left"/>
      <w:pPr>
        <w:ind w:left="1020" w:hanging="360"/>
      </w:pPr>
    </w:lvl>
  </w:abstractNum>
  <w:abstractNum w:abstractNumId="31" w15:restartNumberingAfterBreak="0">
    <w:nsid w:val="4A665F80"/>
    <w:multiLevelType w:val="hybridMultilevel"/>
    <w:tmpl w:val="189462CC"/>
    <w:lvl w:ilvl="0" w:tplc="AB36CF3A">
      <w:start w:val="1"/>
      <w:numFmt w:val="bullet"/>
      <w:lvlText w:val=""/>
      <w:lvlJc w:val="left"/>
      <w:pPr>
        <w:ind w:left="720" w:hanging="360"/>
      </w:pPr>
      <w:rPr>
        <w:rFonts w:ascii="Symbol" w:hAnsi="Symbol"/>
      </w:rPr>
    </w:lvl>
    <w:lvl w:ilvl="1" w:tplc="8924CCD8">
      <w:start w:val="1"/>
      <w:numFmt w:val="bullet"/>
      <w:lvlText w:val=""/>
      <w:lvlJc w:val="left"/>
      <w:pPr>
        <w:ind w:left="720" w:hanging="360"/>
      </w:pPr>
      <w:rPr>
        <w:rFonts w:ascii="Symbol" w:hAnsi="Symbol"/>
      </w:rPr>
    </w:lvl>
    <w:lvl w:ilvl="2" w:tplc="2DAEF336">
      <w:start w:val="1"/>
      <w:numFmt w:val="bullet"/>
      <w:lvlText w:val=""/>
      <w:lvlJc w:val="left"/>
      <w:pPr>
        <w:ind w:left="720" w:hanging="360"/>
      </w:pPr>
      <w:rPr>
        <w:rFonts w:ascii="Symbol" w:hAnsi="Symbol"/>
      </w:rPr>
    </w:lvl>
    <w:lvl w:ilvl="3" w:tplc="DDE64FA6">
      <w:start w:val="1"/>
      <w:numFmt w:val="bullet"/>
      <w:lvlText w:val=""/>
      <w:lvlJc w:val="left"/>
      <w:pPr>
        <w:ind w:left="720" w:hanging="360"/>
      </w:pPr>
      <w:rPr>
        <w:rFonts w:ascii="Symbol" w:hAnsi="Symbol"/>
      </w:rPr>
    </w:lvl>
    <w:lvl w:ilvl="4" w:tplc="26780F94">
      <w:start w:val="1"/>
      <w:numFmt w:val="bullet"/>
      <w:lvlText w:val=""/>
      <w:lvlJc w:val="left"/>
      <w:pPr>
        <w:ind w:left="720" w:hanging="360"/>
      </w:pPr>
      <w:rPr>
        <w:rFonts w:ascii="Symbol" w:hAnsi="Symbol"/>
      </w:rPr>
    </w:lvl>
    <w:lvl w:ilvl="5" w:tplc="E6280B28">
      <w:start w:val="1"/>
      <w:numFmt w:val="bullet"/>
      <w:lvlText w:val=""/>
      <w:lvlJc w:val="left"/>
      <w:pPr>
        <w:ind w:left="720" w:hanging="360"/>
      </w:pPr>
      <w:rPr>
        <w:rFonts w:ascii="Symbol" w:hAnsi="Symbol"/>
      </w:rPr>
    </w:lvl>
    <w:lvl w:ilvl="6" w:tplc="7D2A30E0">
      <w:start w:val="1"/>
      <w:numFmt w:val="bullet"/>
      <w:lvlText w:val=""/>
      <w:lvlJc w:val="left"/>
      <w:pPr>
        <w:ind w:left="720" w:hanging="360"/>
      </w:pPr>
      <w:rPr>
        <w:rFonts w:ascii="Symbol" w:hAnsi="Symbol"/>
      </w:rPr>
    </w:lvl>
    <w:lvl w:ilvl="7" w:tplc="5AA86A7E">
      <w:start w:val="1"/>
      <w:numFmt w:val="bullet"/>
      <w:lvlText w:val=""/>
      <w:lvlJc w:val="left"/>
      <w:pPr>
        <w:ind w:left="720" w:hanging="360"/>
      </w:pPr>
      <w:rPr>
        <w:rFonts w:ascii="Symbol" w:hAnsi="Symbol"/>
      </w:rPr>
    </w:lvl>
    <w:lvl w:ilvl="8" w:tplc="D626EB7E">
      <w:start w:val="1"/>
      <w:numFmt w:val="bullet"/>
      <w:lvlText w:val=""/>
      <w:lvlJc w:val="left"/>
      <w:pPr>
        <w:ind w:left="720" w:hanging="360"/>
      </w:pPr>
      <w:rPr>
        <w:rFonts w:ascii="Symbol" w:hAnsi="Symbol"/>
      </w:rPr>
    </w:lvl>
  </w:abstractNum>
  <w:abstractNum w:abstractNumId="32" w15:restartNumberingAfterBreak="0">
    <w:nsid w:val="4E1A982C"/>
    <w:multiLevelType w:val="multilevel"/>
    <w:tmpl w:val="39BEA364"/>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3" w15:restartNumberingAfterBreak="0">
    <w:nsid w:val="4E625D08"/>
    <w:multiLevelType w:val="multilevel"/>
    <w:tmpl w:val="9148F3A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4" w15:restartNumberingAfterBreak="0">
    <w:nsid w:val="5072619B"/>
    <w:multiLevelType w:val="multilevel"/>
    <w:tmpl w:val="0DDE7082"/>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5" w15:restartNumberingAfterBreak="0">
    <w:nsid w:val="52FC48A5"/>
    <w:multiLevelType w:val="hybridMultilevel"/>
    <w:tmpl w:val="57FE1F52"/>
    <w:lvl w:ilvl="0" w:tplc="019E864C">
      <w:start w:val="1"/>
      <w:numFmt w:val="bullet"/>
      <w:lvlText w:val=""/>
      <w:lvlJc w:val="left"/>
      <w:pPr>
        <w:ind w:left="720" w:hanging="360"/>
      </w:pPr>
      <w:rPr>
        <w:rFonts w:ascii="Symbol" w:hAnsi="Symbol"/>
      </w:rPr>
    </w:lvl>
    <w:lvl w:ilvl="1" w:tplc="A99EA7DE">
      <w:start w:val="1"/>
      <w:numFmt w:val="bullet"/>
      <w:lvlText w:val=""/>
      <w:lvlJc w:val="left"/>
      <w:pPr>
        <w:ind w:left="720" w:hanging="360"/>
      </w:pPr>
      <w:rPr>
        <w:rFonts w:ascii="Symbol" w:hAnsi="Symbol"/>
      </w:rPr>
    </w:lvl>
    <w:lvl w:ilvl="2" w:tplc="8C7839FC">
      <w:start w:val="1"/>
      <w:numFmt w:val="bullet"/>
      <w:lvlText w:val=""/>
      <w:lvlJc w:val="left"/>
      <w:pPr>
        <w:ind w:left="720" w:hanging="360"/>
      </w:pPr>
      <w:rPr>
        <w:rFonts w:ascii="Symbol" w:hAnsi="Symbol"/>
      </w:rPr>
    </w:lvl>
    <w:lvl w:ilvl="3" w:tplc="C9E2929E">
      <w:start w:val="1"/>
      <w:numFmt w:val="bullet"/>
      <w:lvlText w:val=""/>
      <w:lvlJc w:val="left"/>
      <w:pPr>
        <w:ind w:left="720" w:hanging="360"/>
      </w:pPr>
      <w:rPr>
        <w:rFonts w:ascii="Symbol" w:hAnsi="Symbol"/>
      </w:rPr>
    </w:lvl>
    <w:lvl w:ilvl="4" w:tplc="3560F132">
      <w:start w:val="1"/>
      <w:numFmt w:val="bullet"/>
      <w:lvlText w:val=""/>
      <w:lvlJc w:val="left"/>
      <w:pPr>
        <w:ind w:left="720" w:hanging="360"/>
      </w:pPr>
      <w:rPr>
        <w:rFonts w:ascii="Symbol" w:hAnsi="Symbol"/>
      </w:rPr>
    </w:lvl>
    <w:lvl w:ilvl="5" w:tplc="B8D420FE">
      <w:start w:val="1"/>
      <w:numFmt w:val="bullet"/>
      <w:lvlText w:val=""/>
      <w:lvlJc w:val="left"/>
      <w:pPr>
        <w:ind w:left="720" w:hanging="360"/>
      </w:pPr>
      <w:rPr>
        <w:rFonts w:ascii="Symbol" w:hAnsi="Symbol"/>
      </w:rPr>
    </w:lvl>
    <w:lvl w:ilvl="6" w:tplc="14B0F4DC">
      <w:start w:val="1"/>
      <w:numFmt w:val="bullet"/>
      <w:lvlText w:val=""/>
      <w:lvlJc w:val="left"/>
      <w:pPr>
        <w:ind w:left="720" w:hanging="360"/>
      </w:pPr>
      <w:rPr>
        <w:rFonts w:ascii="Symbol" w:hAnsi="Symbol"/>
      </w:rPr>
    </w:lvl>
    <w:lvl w:ilvl="7" w:tplc="400C92B0">
      <w:start w:val="1"/>
      <w:numFmt w:val="bullet"/>
      <w:lvlText w:val=""/>
      <w:lvlJc w:val="left"/>
      <w:pPr>
        <w:ind w:left="720" w:hanging="360"/>
      </w:pPr>
      <w:rPr>
        <w:rFonts w:ascii="Symbol" w:hAnsi="Symbol"/>
      </w:rPr>
    </w:lvl>
    <w:lvl w:ilvl="8" w:tplc="126C2C3C">
      <w:start w:val="1"/>
      <w:numFmt w:val="bullet"/>
      <w:lvlText w:val=""/>
      <w:lvlJc w:val="left"/>
      <w:pPr>
        <w:ind w:left="720" w:hanging="360"/>
      </w:pPr>
      <w:rPr>
        <w:rFonts w:ascii="Symbol" w:hAnsi="Symbol"/>
      </w:rPr>
    </w:lvl>
  </w:abstractNum>
  <w:abstractNum w:abstractNumId="36" w15:restartNumberingAfterBreak="0">
    <w:nsid w:val="5FA92860"/>
    <w:multiLevelType w:val="hybridMultilevel"/>
    <w:tmpl w:val="52145C56"/>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37" w15:restartNumberingAfterBreak="0">
    <w:nsid w:val="66093060"/>
    <w:multiLevelType w:val="hybridMultilevel"/>
    <w:tmpl w:val="2EE8D77A"/>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8" w15:restartNumberingAfterBreak="0">
    <w:nsid w:val="66576CC9"/>
    <w:multiLevelType w:val="hybridMultilevel"/>
    <w:tmpl w:val="411C41E2"/>
    <w:lvl w:ilvl="0" w:tplc="03A41932">
      <w:start w:val="1"/>
      <w:numFmt w:val="decimal"/>
      <w:lvlText w:val="%1)"/>
      <w:lvlJc w:val="left"/>
      <w:pPr>
        <w:ind w:left="1020" w:hanging="360"/>
      </w:pPr>
    </w:lvl>
    <w:lvl w:ilvl="1" w:tplc="F0AE093C">
      <w:start w:val="1"/>
      <w:numFmt w:val="decimal"/>
      <w:lvlText w:val="%2)"/>
      <w:lvlJc w:val="left"/>
      <w:pPr>
        <w:ind w:left="1020" w:hanging="360"/>
      </w:pPr>
    </w:lvl>
    <w:lvl w:ilvl="2" w:tplc="9AEE4B96">
      <w:start w:val="1"/>
      <w:numFmt w:val="decimal"/>
      <w:lvlText w:val="%3)"/>
      <w:lvlJc w:val="left"/>
      <w:pPr>
        <w:ind w:left="1020" w:hanging="360"/>
      </w:pPr>
    </w:lvl>
    <w:lvl w:ilvl="3" w:tplc="4C049316">
      <w:start w:val="1"/>
      <w:numFmt w:val="decimal"/>
      <w:lvlText w:val="%4)"/>
      <w:lvlJc w:val="left"/>
      <w:pPr>
        <w:ind w:left="1020" w:hanging="360"/>
      </w:pPr>
    </w:lvl>
    <w:lvl w:ilvl="4" w:tplc="1EB6AE92">
      <w:start w:val="1"/>
      <w:numFmt w:val="decimal"/>
      <w:lvlText w:val="%5)"/>
      <w:lvlJc w:val="left"/>
      <w:pPr>
        <w:ind w:left="1020" w:hanging="360"/>
      </w:pPr>
    </w:lvl>
    <w:lvl w:ilvl="5" w:tplc="CAE6833C">
      <w:start w:val="1"/>
      <w:numFmt w:val="decimal"/>
      <w:lvlText w:val="%6)"/>
      <w:lvlJc w:val="left"/>
      <w:pPr>
        <w:ind w:left="1020" w:hanging="360"/>
      </w:pPr>
    </w:lvl>
    <w:lvl w:ilvl="6" w:tplc="FE00FF8C">
      <w:start w:val="1"/>
      <w:numFmt w:val="decimal"/>
      <w:lvlText w:val="%7)"/>
      <w:lvlJc w:val="left"/>
      <w:pPr>
        <w:ind w:left="1020" w:hanging="360"/>
      </w:pPr>
    </w:lvl>
    <w:lvl w:ilvl="7" w:tplc="541C4AEE">
      <w:start w:val="1"/>
      <w:numFmt w:val="decimal"/>
      <w:lvlText w:val="%8)"/>
      <w:lvlJc w:val="left"/>
      <w:pPr>
        <w:ind w:left="1020" w:hanging="360"/>
      </w:pPr>
    </w:lvl>
    <w:lvl w:ilvl="8" w:tplc="E794CB34">
      <w:start w:val="1"/>
      <w:numFmt w:val="decimal"/>
      <w:lvlText w:val="%9)"/>
      <w:lvlJc w:val="left"/>
      <w:pPr>
        <w:ind w:left="1020" w:hanging="360"/>
      </w:pPr>
    </w:lvl>
  </w:abstractNum>
  <w:abstractNum w:abstractNumId="39" w15:restartNumberingAfterBreak="0">
    <w:nsid w:val="6977472E"/>
    <w:multiLevelType w:val="multilevel"/>
    <w:tmpl w:val="DC4AC1DE"/>
    <w:name w:val="ListNumber4Numbering"/>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0" w15:restartNumberingAfterBreak="0">
    <w:nsid w:val="6B113CA5"/>
    <w:multiLevelType w:val="hybridMultilevel"/>
    <w:tmpl w:val="AE4AE978"/>
    <w:lvl w:ilvl="0" w:tplc="3D0EB7C0">
      <w:start w:val="1"/>
      <w:numFmt w:val="lowerLetter"/>
      <w:lvlText w:val="%1)"/>
      <w:lvlJc w:val="left"/>
      <w:pPr>
        <w:ind w:left="1740" w:hanging="360"/>
      </w:pPr>
    </w:lvl>
    <w:lvl w:ilvl="1" w:tplc="E584893A">
      <w:start w:val="1"/>
      <w:numFmt w:val="lowerLetter"/>
      <w:lvlText w:val="%2)"/>
      <w:lvlJc w:val="left"/>
      <w:pPr>
        <w:ind w:left="1740" w:hanging="360"/>
      </w:pPr>
    </w:lvl>
    <w:lvl w:ilvl="2" w:tplc="0AF82BD4">
      <w:start w:val="1"/>
      <w:numFmt w:val="lowerLetter"/>
      <w:lvlText w:val="%3)"/>
      <w:lvlJc w:val="left"/>
      <w:pPr>
        <w:ind w:left="1740" w:hanging="360"/>
      </w:pPr>
    </w:lvl>
    <w:lvl w:ilvl="3" w:tplc="BC9093C2">
      <w:start w:val="1"/>
      <w:numFmt w:val="lowerLetter"/>
      <w:lvlText w:val="%4)"/>
      <w:lvlJc w:val="left"/>
      <w:pPr>
        <w:ind w:left="1740" w:hanging="360"/>
      </w:pPr>
    </w:lvl>
    <w:lvl w:ilvl="4" w:tplc="DFE4B31C">
      <w:start w:val="1"/>
      <w:numFmt w:val="lowerLetter"/>
      <w:lvlText w:val="%5)"/>
      <w:lvlJc w:val="left"/>
      <w:pPr>
        <w:ind w:left="1740" w:hanging="360"/>
      </w:pPr>
    </w:lvl>
    <w:lvl w:ilvl="5" w:tplc="AAD8C4B6">
      <w:start w:val="1"/>
      <w:numFmt w:val="lowerLetter"/>
      <w:lvlText w:val="%6)"/>
      <w:lvlJc w:val="left"/>
      <w:pPr>
        <w:ind w:left="1740" w:hanging="360"/>
      </w:pPr>
    </w:lvl>
    <w:lvl w:ilvl="6" w:tplc="1D385970">
      <w:start w:val="1"/>
      <w:numFmt w:val="lowerLetter"/>
      <w:lvlText w:val="%7)"/>
      <w:lvlJc w:val="left"/>
      <w:pPr>
        <w:ind w:left="1740" w:hanging="360"/>
      </w:pPr>
    </w:lvl>
    <w:lvl w:ilvl="7" w:tplc="A53A15B6">
      <w:start w:val="1"/>
      <w:numFmt w:val="lowerLetter"/>
      <w:lvlText w:val="%8)"/>
      <w:lvlJc w:val="left"/>
      <w:pPr>
        <w:ind w:left="1740" w:hanging="360"/>
      </w:pPr>
    </w:lvl>
    <w:lvl w:ilvl="8" w:tplc="665AE198">
      <w:start w:val="1"/>
      <w:numFmt w:val="lowerLetter"/>
      <w:lvlText w:val="%9)"/>
      <w:lvlJc w:val="left"/>
      <w:pPr>
        <w:ind w:left="1740" w:hanging="360"/>
      </w:pPr>
    </w:lvl>
  </w:abstractNum>
  <w:abstractNum w:abstractNumId="41" w15:restartNumberingAfterBreak="0">
    <w:nsid w:val="712D19E7"/>
    <w:multiLevelType w:val="hybridMultilevel"/>
    <w:tmpl w:val="F1F60E2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2" w15:restartNumberingAfterBreak="0">
    <w:nsid w:val="73CF2205"/>
    <w:multiLevelType w:val="hybridMultilevel"/>
    <w:tmpl w:val="143ED640"/>
    <w:lvl w:ilvl="0" w:tplc="04130001">
      <w:start w:val="1"/>
      <w:numFmt w:val="bullet"/>
      <w:lvlText w:val=""/>
      <w:lvlJc w:val="left"/>
      <w:pPr>
        <w:ind w:left="1137" w:hanging="360"/>
      </w:pPr>
      <w:rPr>
        <w:rFonts w:ascii="Symbol" w:hAnsi="Symbol" w:hint="default"/>
      </w:rPr>
    </w:lvl>
    <w:lvl w:ilvl="1" w:tplc="04130003">
      <w:start w:val="1"/>
      <w:numFmt w:val="bullet"/>
      <w:lvlText w:val="o"/>
      <w:lvlJc w:val="left"/>
      <w:pPr>
        <w:ind w:left="1857" w:hanging="360"/>
      </w:pPr>
      <w:rPr>
        <w:rFonts w:ascii="Courier New" w:hAnsi="Courier New" w:cs="Courier New" w:hint="default"/>
      </w:rPr>
    </w:lvl>
    <w:lvl w:ilvl="2" w:tplc="04130005">
      <w:start w:val="1"/>
      <w:numFmt w:val="bullet"/>
      <w:lvlText w:val=""/>
      <w:lvlJc w:val="left"/>
      <w:pPr>
        <w:ind w:left="2577" w:hanging="360"/>
      </w:pPr>
      <w:rPr>
        <w:rFonts w:ascii="Wingdings" w:hAnsi="Wingdings" w:hint="default"/>
      </w:rPr>
    </w:lvl>
    <w:lvl w:ilvl="3" w:tplc="04130001">
      <w:start w:val="1"/>
      <w:numFmt w:val="bullet"/>
      <w:lvlText w:val=""/>
      <w:lvlJc w:val="left"/>
      <w:pPr>
        <w:ind w:left="3297" w:hanging="360"/>
      </w:pPr>
      <w:rPr>
        <w:rFonts w:ascii="Symbol" w:hAnsi="Symbol" w:hint="default"/>
      </w:rPr>
    </w:lvl>
    <w:lvl w:ilvl="4" w:tplc="04130003">
      <w:start w:val="1"/>
      <w:numFmt w:val="bullet"/>
      <w:lvlText w:val="o"/>
      <w:lvlJc w:val="left"/>
      <w:pPr>
        <w:ind w:left="4017" w:hanging="360"/>
      </w:pPr>
      <w:rPr>
        <w:rFonts w:ascii="Courier New" w:hAnsi="Courier New" w:cs="Courier New" w:hint="default"/>
      </w:rPr>
    </w:lvl>
    <w:lvl w:ilvl="5" w:tplc="04130005">
      <w:start w:val="1"/>
      <w:numFmt w:val="bullet"/>
      <w:lvlText w:val=""/>
      <w:lvlJc w:val="left"/>
      <w:pPr>
        <w:ind w:left="4737" w:hanging="360"/>
      </w:pPr>
      <w:rPr>
        <w:rFonts w:ascii="Wingdings" w:hAnsi="Wingdings" w:hint="default"/>
      </w:rPr>
    </w:lvl>
    <w:lvl w:ilvl="6" w:tplc="04130001">
      <w:start w:val="1"/>
      <w:numFmt w:val="bullet"/>
      <w:lvlText w:val=""/>
      <w:lvlJc w:val="left"/>
      <w:pPr>
        <w:ind w:left="5457" w:hanging="360"/>
      </w:pPr>
      <w:rPr>
        <w:rFonts w:ascii="Symbol" w:hAnsi="Symbol" w:hint="default"/>
      </w:rPr>
    </w:lvl>
    <w:lvl w:ilvl="7" w:tplc="04130003">
      <w:start w:val="1"/>
      <w:numFmt w:val="bullet"/>
      <w:lvlText w:val="o"/>
      <w:lvlJc w:val="left"/>
      <w:pPr>
        <w:ind w:left="6177" w:hanging="360"/>
      </w:pPr>
      <w:rPr>
        <w:rFonts w:ascii="Courier New" w:hAnsi="Courier New" w:cs="Courier New" w:hint="default"/>
      </w:rPr>
    </w:lvl>
    <w:lvl w:ilvl="8" w:tplc="04130005">
      <w:start w:val="1"/>
      <w:numFmt w:val="bullet"/>
      <w:lvlText w:val=""/>
      <w:lvlJc w:val="left"/>
      <w:pPr>
        <w:ind w:left="6897" w:hanging="360"/>
      </w:pPr>
      <w:rPr>
        <w:rFonts w:ascii="Wingdings" w:hAnsi="Wingdings" w:hint="default"/>
      </w:rPr>
    </w:lvl>
  </w:abstractNum>
  <w:abstractNum w:abstractNumId="43" w15:restartNumberingAfterBreak="0">
    <w:nsid w:val="74680E0C"/>
    <w:multiLevelType w:val="hybridMultilevel"/>
    <w:tmpl w:val="949A6A04"/>
    <w:lvl w:ilvl="0" w:tplc="D38C28EC">
      <w:start w:val="1"/>
      <w:numFmt w:val="decimal"/>
      <w:lvlText w:val="%1)"/>
      <w:lvlJc w:val="left"/>
      <w:pPr>
        <w:ind w:left="1020" w:hanging="360"/>
      </w:pPr>
    </w:lvl>
    <w:lvl w:ilvl="1" w:tplc="B7663F94">
      <w:start w:val="1"/>
      <w:numFmt w:val="upperLetter"/>
      <w:lvlText w:val="%2)"/>
      <w:lvlJc w:val="left"/>
      <w:pPr>
        <w:ind w:left="1740" w:hanging="360"/>
      </w:pPr>
    </w:lvl>
    <w:lvl w:ilvl="2" w:tplc="26F63630">
      <w:start w:val="1"/>
      <w:numFmt w:val="decimal"/>
      <w:lvlText w:val="%3)"/>
      <w:lvlJc w:val="left"/>
      <w:pPr>
        <w:ind w:left="1020" w:hanging="360"/>
      </w:pPr>
    </w:lvl>
    <w:lvl w:ilvl="3" w:tplc="5E50BCB4">
      <w:start w:val="1"/>
      <w:numFmt w:val="decimal"/>
      <w:lvlText w:val="%4)"/>
      <w:lvlJc w:val="left"/>
      <w:pPr>
        <w:ind w:left="1020" w:hanging="360"/>
      </w:pPr>
    </w:lvl>
    <w:lvl w:ilvl="4" w:tplc="E6086514">
      <w:start w:val="1"/>
      <w:numFmt w:val="decimal"/>
      <w:lvlText w:val="%5)"/>
      <w:lvlJc w:val="left"/>
      <w:pPr>
        <w:ind w:left="1020" w:hanging="360"/>
      </w:pPr>
    </w:lvl>
    <w:lvl w:ilvl="5" w:tplc="323689A4">
      <w:start w:val="1"/>
      <w:numFmt w:val="decimal"/>
      <w:lvlText w:val="%6)"/>
      <w:lvlJc w:val="left"/>
      <w:pPr>
        <w:ind w:left="1020" w:hanging="360"/>
      </w:pPr>
    </w:lvl>
    <w:lvl w:ilvl="6" w:tplc="EE585AD8">
      <w:start w:val="1"/>
      <w:numFmt w:val="decimal"/>
      <w:lvlText w:val="%7)"/>
      <w:lvlJc w:val="left"/>
      <w:pPr>
        <w:ind w:left="1020" w:hanging="360"/>
      </w:pPr>
    </w:lvl>
    <w:lvl w:ilvl="7" w:tplc="7C24F83E">
      <w:start w:val="1"/>
      <w:numFmt w:val="decimal"/>
      <w:lvlText w:val="%8)"/>
      <w:lvlJc w:val="left"/>
      <w:pPr>
        <w:ind w:left="1020" w:hanging="360"/>
      </w:pPr>
    </w:lvl>
    <w:lvl w:ilvl="8" w:tplc="F006D9C4">
      <w:start w:val="1"/>
      <w:numFmt w:val="decimal"/>
      <w:lvlText w:val="%9)"/>
      <w:lvlJc w:val="left"/>
      <w:pPr>
        <w:ind w:left="1020" w:hanging="360"/>
      </w:pPr>
    </w:lvl>
  </w:abstractNum>
  <w:abstractNum w:abstractNumId="44" w15:restartNumberingAfterBreak="0">
    <w:nsid w:val="7AD91E39"/>
    <w:multiLevelType w:val="hybridMultilevel"/>
    <w:tmpl w:val="D6CCF542"/>
    <w:lvl w:ilvl="0" w:tplc="AA02B6EE">
      <w:start w:val="1"/>
      <w:numFmt w:val="decimal"/>
      <w:lvlText w:val="%1)"/>
      <w:lvlJc w:val="left"/>
      <w:pPr>
        <w:ind w:left="1020" w:hanging="360"/>
      </w:pPr>
    </w:lvl>
    <w:lvl w:ilvl="1" w:tplc="99C80436">
      <w:start w:val="1"/>
      <w:numFmt w:val="upperLetter"/>
      <w:lvlText w:val="%2)"/>
      <w:lvlJc w:val="left"/>
      <w:pPr>
        <w:ind w:left="1740" w:hanging="360"/>
      </w:pPr>
    </w:lvl>
    <w:lvl w:ilvl="2" w:tplc="8BE2D59C">
      <w:start w:val="1"/>
      <w:numFmt w:val="decimal"/>
      <w:lvlText w:val="%3)"/>
      <w:lvlJc w:val="left"/>
      <w:pPr>
        <w:ind w:left="1020" w:hanging="360"/>
      </w:pPr>
    </w:lvl>
    <w:lvl w:ilvl="3" w:tplc="5B507EA6">
      <w:start w:val="1"/>
      <w:numFmt w:val="decimal"/>
      <w:lvlText w:val="%4)"/>
      <w:lvlJc w:val="left"/>
      <w:pPr>
        <w:ind w:left="1020" w:hanging="360"/>
      </w:pPr>
    </w:lvl>
    <w:lvl w:ilvl="4" w:tplc="1D522F00">
      <w:start w:val="1"/>
      <w:numFmt w:val="decimal"/>
      <w:lvlText w:val="%5)"/>
      <w:lvlJc w:val="left"/>
      <w:pPr>
        <w:ind w:left="1020" w:hanging="360"/>
      </w:pPr>
    </w:lvl>
    <w:lvl w:ilvl="5" w:tplc="9C5E4B74">
      <w:start w:val="1"/>
      <w:numFmt w:val="decimal"/>
      <w:lvlText w:val="%6)"/>
      <w:lvlJc w:val="left"/>
      <w:pPr>
        <w:ind w:left="1020" w:hanging="360"/>
      </w:pPr>
    </w:lvl>
    <w:lvl w:ilvl="6" w:tplc="FA60DBEC">
      <w:start w:val="1"/>
      <w:numFmt w:val="decimal"/>
      <w:lvlText w:val="%7)"/>
      <w:lvlJc w:val="left"/>
      <w:pPr>
        <w:ind w:left="1020" w:hanging="360"/>
      </w:pPr>
    </w:lvl>
    <w:lvl w:ilvl="7" w:tplc="8DF09F04">
      <w:start w:val="1"/>
      <w:numFmt w:val="decimal"/>
      <w:lvlText w:val="%8)"/>
      <w:lvlJc w:val="left"/>
      <w:pPr>
        <w:ind w:left="1020" w:hanging="360"/>
      </w:pPr>
    </w:lvl>
    <w:lvl w:ilvl="8" w:tplc="FF44A092">
      <w:start w:val="1"/>
      <w:numFmt w:val="decimal"/>
      <w:lvlText w:val="%9)"/>
      <w:lvlJc w:val="left"/>
      <w:pPr>
        <w:ind w:left="1020" w:hanging="360"/>
      </w:pPr>
    </w:lvl>
  </w:abstractNum>
  <w:abstractNum w:abstractNumId="45" w15:restartNumberingAfterBreak="0">
    <w:nsid w:val="7C65145E"/>
    <w:multiLevelType w:val="multilevel"/>
    <w:tmpl w:val="42C6333E"/>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595"/>
      </w:pPr>
    </w:lvl>
    <w:lvl w:ilvl="2">
      <w:start w:val="1"/>
      <w:numFmt w:val="decimal"/>
      <w:pStyle w:val="Heading3"/>
      <w:lvlText w:val="%1.%2.%3."/>
      <w:lvlJc w:val="left"/>
      <w:pPr>
        <w:tabs>
          <w:tab w:val="num" w:pos="1922"/>
        </w:tabs>
        <w:ind w:left="1922" w:hanging="845"/>
      </w:pPr>
    </w:lvl>
    <w:lvl w:ilvl="3">
      <w:start w:val="1"/>
      <w:numFmt w:val="decimal"/>
      <w:pStyle w:val="Heading4"/>
      <w:lvlText w:val="%1.%2.%3.%4."/>
      <w:lvlJc w:val="left"/>
      <w:pPr>
        <w:tabs>
          <w:tab w:val="num" w:pos="2880"/>
        </w:tabs>
        <w:ind w:left="2880" w:hanging="958"/>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46"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46"/>
  </w:num>
  <w:num w:numId="2">
    <w:abstractNumId w:val="21"/>
  </w:num>
  <w:num w:numId="3">
    <w:abstractNumId w:val="20"/>
  </w:num>
  <w:num w:numId="4">
    <w:abstractNumId w:val="45"/>
  </w:num>
  <w:num w:numId="5">
    <w:abstractNumId w:val="32"/>
  </w:num>
  <w:num w:numId="6">
    <w:abstractNumId w:val="27"/>
  </w:num>
  <w:num w:numId="7">
    <w:abstractNumId w:val="19"/>
  </w:num>
  <w:num w:numId="8">
    <w:abstractNumId w:val="8"/>
  </w:num>
  <w:num w:numId="9">
    <w:abstractNumId w:val="6"/>
  </w:num>
  <w:num w:numId="10">
    <w:abstractNumId w:val="5"/>
  </w:num>
  <w:num w:numId="11">
    <w:abstractNumId w:val="29"/>
  </w:num>
  <w:num w:numId="12">
    <w:abstractNumId w:val="13"/>
  </w:num>
  <w:num w:numId="13">
    <w:abstractNumId w:val="3"/>
  </w:num>
  <w:num w:numId="14">
    <w:abstractNumId w:val="39"/>
  </w:num>
  <w:num w:numId="15">
    <w:abstractNumId w:val="34"/>
  </w:num>
  <w:num w:numId="16">
    <w:abstractNumId w:val="24"/>
  </w:num>
  <w:num w:numId="17">
    <w:abstractNumId w:val="16"/>
  </w:num>
  <w:num w:numId="18">
    <w:abstractNumId w:val="23"/>
  </w:num>
  <w:num w:numId="19">
    <w:abstractNumId w:val="2"/>
  </w:num>
  <w:num w:numId="20">
    <w:abstractNumId w:val="22"/>
  </w:num>
  <w:num w:numId="21">
    <w:abstractNumId w:val="10"/>
  </w:num>
  <w:num w:numId="22">
    <w:abstractNumId w:val="25"/>
  </w:num>
  <w:num w:numId="23">
    <w:abstractNumId w:val="41"/>
  </w:num>
  <w:num w:numId="24">
    <w:abstractNumId w:val="33"/>
  </w:num>
  <w:num w:numId="25">
    <w:abstractNumId w:val="36"/>
  </w:num>
  <w:num w:numId="26">
    <w:abstractNumId w:val="37"/>
  </w:num>
  <w:num w:numId="27">
    <w:abstractNumId w:val="42"/>
  </w:num>
  <w:num w:numId="28">
    <w:abstractNumId w:val="15"/>
  </w:num>
  <w:num w:numId="29">
    <w:abstractNumId w:val="14"/>
  </w:num>
  <w:num w:numId="30">
    <w:abstractNumId w:val="7"/>
  </w:num>
  <w:num w:numId="31">
    <w:abstractNumId w:val="17"/>
  </w:num>
  <w:num w:numId="32">
    <w:abstractNumId w:val="30"/>
  </w:num>
  <w:num w:numId="33">
    <w:abstractNumId w:val="26"/>
  </w:num>
  <w:num w:numId="34">
    <w:abstractNumId w:val="44"/>
  </w:num>
  <w:num w:numId="35">
    <w:abstractNumId w:val="43"/>
  </w:num>
  <w:num w:numId="36">
    <w:abstractNumId w:val="4"/>
  </w:num>
  <w:num w:numId="37">
    <w:abstractNumId w:val="40"/>
  </w:num>
  <w:num w:numId="38">
    <w:abstractNumId w:val="28"/>
  </w:num>
  <w:num w:numId="39">
    <w:abstractNumId w:val="35"/>
  </w:num>
  <w:num w:numId="40">
    <w:abstractNumId w:val="12"/>
  </w:num>
  <w:num w:numId="41">
    <w:abstractNumId w:val="31"/>
  </w:num>
  <w:num w:numId="42">
    <w:abstractNumId w:val="38"/>
  </w:num>
  <w:num w:numId="43">
    <w:abstractNumId w:val="0"/>
  </w:num>
  <w:num w:numId="44">
    <w:abstractNumId w:val="18"/>
  </w:num>
  <w:num w:numId="45">
    <w:abstractNumId w:val="11"/>
  </w:num>
  <w:num w:numId="46">
    <w:abstractNumId w:val="9"/>
  </w:num>
  <w:num w:numId="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ACCOMPAGNANT.CP" w:val="Accompanying the document"/>
    <w:docVar w:name="LW_CORRIGENDUM" w:val="&lt;UNUSED&gt;"/>
    <w:docVar w:name="LW_COVERPAGE_EXISTS" w:val="True"/>
    <w:docVar w:name="LW_COVERPAGE_GUID" w:val="875A5B92-C4FA-4875-BCE7-10DD5FF1BB8A"/>
    <w:docVar w:name="LW_COVERPAGE_TYPE" w:val="1"/>
    <w:docVar w:name="LW_CROSSREFERENCE" w:val="{COM(2026) 900 final} - {SWD(2026) 901 final} - {SWD(2026) 902 final} - {SWD(2026) 903 final} - {SWD(2026) 904 final} - {SWD(2026) 905 final} - {SWD(2026) 906 final} - {SWD(2026) 907 final} - {SWD(2026) 908 final} - {SWD(2026) 909 final} - {SWD(2026) 910 final} - {SWD(2026) 911 final} - {SWD(2026) 912 final} - {SWD(2026) 913 final} - {SWD(2026) 914 final} - {SWD(2026) 915 final} - {SWD(2026) 916 final} - {SWD(2026) 917 final} - {SWD(2026) 918 final} - {SWD(2026) 920 final} - {SWD(2026) 921 final} - {SWD(2026) 922 final} - {SWD(2026) 923 final} - {SWD(2026) 924 final} - {SWD(2026) 925 final} - {SWD(2026) 926 final} - {SWD(2026) 927 final} - {SWD(2026) 928 final} - {SWD(2026) 929 final} - {SWD(2026) 930 final} - {SWD(2026) 931 final}"/>
    <w:docVar w:name="LW_DocType" w:val="EUROLOOK"/>
    <w:docVar w:name="LW_EMISSION" w:val="17.7.2026"/>
    <w:docVar w:name="LW_EMISSION_ISODATE" w:val="2026-07-17"/>
    <w:docVar w:name="LW_EMISSION_LOCATION" w:val="BRX"/>
    <w:docVar w:name="LW_EMISSION_PREFIX" w:val="Brussels, "/>
    <w:docVar w:name="LW_EMISSION_SUFFIX" w:val=" "/>
    <w:docVar w:name="LW_ID_DOCTYPE_NONLW" w:val="CP-025"/>
    <w:docVar w:name="LW_LANGUE" w:val="EN"/>
    <w:docVar w:name="LW_LEVEL_OF_SENSITIVITY" w:val="Standard treatment"/>
    <w:docVar w:name="LW_NOM.INST" w:val="EUROPEAN COMMISSION"/>
    <w:docVar w:name="LW_NOM.INST_JOINTDOC" w:val="&lt;EMPTY&gt;"/>
    <w:docVar w:name="LW_OBJETACTEPRINCIPAL.CP" w:val="2026 Rule of Law Report _x000d__x000d__x000d__x000d__x000d__x000d__x000d__x000d__x000d__x000d__x000d__x000d__x000d__x000d__x000d__x000d__x000d__x000d__x000d__x000d__x000d__x000d__x000d__x000d__x000d__x000d__x000b_The rule of law situation in the European Union"/>
    <w:docVar w:name="LW_PART_NBR" w:val="1"/>
    <w:docVar w:name="LW_PART_NBR_TOTAL" w:val="1"/>
    <w:docVar w:name="LW_REF.INST.NEW" w:val="SWD"/>
    <w:docVar w:name="LW_REF.INST.NEW_ADOPTED" w:val="final"/>
    <w:docVar w:name="LW_REF.INST.NEW_TEXT" w:val="(2026) 919"/>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2026 Rule of Law Report_x000d__x000d__x000d__x000d__x000d__x000d__x000d__x000d__x000d__x000d__x000d__x000d__x000d__x000d__x000d__x000d__x000d__x000d__x000d__x000d__x000d__x000d__x000d__x000d__x000d__x000d__x000b_Country Chapter on the rule of law situation in the Netherlands"/>
    <w:docVar w:name="LW_TYPE.DOC.CP" w:val="COMMISSION STAFF WORKING DOCUMENT"/>
    <w:docVar w:name="LW_TYPEACTEPRINCIPAL.CP" w:val="Communication from the Commission to the European Parliament, the Council, the European Economic and Social Committee and the Committee of the Regions"/>
    <w:docVar w:name="LwApiVersions" w:val="LW4CoDe 1.24.5.0; LW 9.2, Build 20251112"/>
  </w:docVars>
  <w:rsids>
    <w:rsidRoot w:val="00B51782"/>
    <w:rsid w:val="000022E2"/>
    <w:rsid w:val="0000377E"/>
    <w:rsid w:val="00004987"/>
    <w:rsid w:val="00005778"/>
    <w:rsid w:val="00007207"/>
    <w:rsid w:val="00011207"/>
    <w:rsid w:val="00013A81"/>
    <w:rsid w:val="00014B5F"/>
    <w:rsid w:val="000165F8"/>
    <w:rsid w:val="00017618"/>
    <w:rsid w:val="000200C6"/>
    <w:rsid w:val="00024CAA"/>
    <w:rsid w:val="00025B57"/>
    <w:rsid w:val="00026CCD"/>
    <w:rsid w:val="00027184"/>
    <w:rsid w:val="00027DBE"/>
    <w:rsid w:val="00031BCE"/>
    <w:rsid w:val="000324C9"/>
    <w:rsid w:val="00033B84"/>
    <w:rsid w:val="00037874"/>
    <w:rsid w:val="00040556"/>
    <w:rsid w:val="00043075"/>
    <w:rsid w:val="000454CE"/>
    <w:rsid w:val="00045898"/>
    <w:rsid w:val="00045F6D"/>
    <w:rsid w:val="000531AC"/>
    <w:rsid w:val="000532D9"/>
    <w:rsid w:val="000600AD"/>
    <w:rsid w:val="000640C3"/>
    <w:rsid w:val="00064280"/>
    <w:rsid w:val="000646BF"/>
    <w:rsid w:val="00065DB5"/>
    <w:rsid w:val="000700C9"/>
    <w:rsid w:val="000705DB"/>
    <w:rsid w:val="00070C7F"/>
    <w:rsid w:val="000746F5"/>
    <w:rsid w:val="00081709"/>
    <w:rsid w:val="00081AE1"/>
    <w:rsid w:val="00082473"/>
    <w:rsid w:val="00082718"/>
    <w:rsid w:val="00082ADA"/>
    <w:rsid w:val="000830E3"/>
    <w:rsid w:val="00084B81"/>
    <w:rsid w:val="00084EBD"/>
    <w:rsid w:val="00085966"/>
    <w:rsid w:val="000875DA"/>
    <w:rsid w:val="00090F93"/>
    <w:rsid w:val="000933E5"/>
    <w:rsid w:val="00094057"/>
    <w:rsid w:val="00095853"/>
    <w:rsid w:val="00096855"/>
    <w:rsid w:val="0009782F"/>
    <w:rsid w:val="000A0F2F"/>
    <w:rsid w:val="000A1227"/>
    <w:rsid w:val="000A28A1"/>
    <w:rsid w:val="000A294F"/>
    <w:rsid w:val="000A4482"/>
    <w:rsid w:val="000A7EA5"/>
    <w:rsid w:val="000B1D32"/>
    <w:rsid w:val="000B544F"/>
    <w:rsid w:val="000B6D8F"/>
    <w:rsid w:val="000B715C"/>
    <w:rsid w:val="000B7834"/>
    <w:rsid w:val="000B786A"/>
    <w:rsid w:val="000C09F0"/>
    <w:rsid w:val="000C2488"/>
    <w:rsid w:val="000C2ECA"/>
    <w:rsid w:val="000C5963"/>
    <w:rsid w:val="000C609A"/>
    <w:rsid w:val="000C624C"/>
    <w:rsid w:val="000D0428"/>
    <w:rsid w:val="000D0DDD"/>
    <w:rsid w:val="000D31FA"/>
    <w:rsid w:val="000D3BEA"/>
    <w:rsid w:val="000D3F33"/>
    <w:rsid w:val="000D61C3"/>
    <w:rsid w:val="000D6D11"/>
    <w:rsid w:val="000E1C3E"/>
    <w:rsid w:val="000E28B9"/>
    <w:rsid w:val="000E7293"/>
    <w:rsid w:val="000F096A"/>
    <w:rsid w:val="000F1215"/>
    <w:rsid w:val="000F194D"/>
    <w:rsid w:val="000F513D"/>
    <w:rsid w:val="000F5160"/>
    <w:rsid w:val="000F66D7"/>
    <w:rsid w:val="000F6D66"/>
    <w:rsid w:val="0010033B"/>
    <w:rsid w:val="00101251"/>
    <w:rsid w:val="00102058"/>
    <w:rsid w:val="001040B7"/>
    <w:rsid w:val="001044CF"/>
    <w:rsid w:val="001073A9"/>
    <w:rsid w:val="001139D6"/>
    <w:rsid w:val="00114611"/>
    <w:rsid w:val="00114B85"/>
    <w:rsid w:val="00115114"/>
    <w:rsid w:val="00115AF1"/>
    <w:rsid w:val="00117093"/>
    <w:rsid w:val="00124681"/>
    <w:rsid w:val="00125089"/>
    <w:rsid w:val="0012606C"/>
    <w:rsid w:val="00127E40"/>
    <w:rsid w:val="00127FDB"/>
    <w:rsid w:val="001322EC"/>
    <w:rsid w:val="0013285F"/>
    <w:rsid w:val="001355D6"/>
    <w:rsid w:val="00135962"/>
    <w:rsid w:val="00136F0A"/>
    <w:rsid w:val="001418DB"/>
    <w:rsid w:val="00141E78"/>
    <w:rsid w:val="00143A78"/>
    <w:rsid w:val="00143ACC"/>
    <w:rsid w:val="001469B7"/>
    <w:rsid w:val="00147ADC"/>
    <w:rsid w:val="00147C4C"/>
    <w:rsid w:val="0015020D"/>
    <w:rsid w:val="00150A39"/>
    <w:rsid w:val="00152E38"/>
    <w:rsid w:val="00154724"/>
    <w:rsid w:val="00154A40"/>
    <w:rsid w:val="00154EB8"/>
    <w:rsid w:val="00155356"/>
    <w:rsid w:val="00160B10"/>
    <w:rsid w:val="001641D5"/>
    <w:rsid w:val="00164F2A"/>
    <w:rsid w:val="0016536D"/>
    <w:rsid w:val="00165510"/>
    <w:rsid w:val="00165CC4"/>
    <w:rsid w:val="00166624"/>
    <w:rsid w:val="00166685"/>
    <w:rsid w:val="0016702A"/>
    <w:rsid w:val="0016763A"/>
    <w:rsid w:val="00167CFF"/>
    <w:rsid w:val="00170C28"/>
    <w:rsid w:val="00173979"/>
    <w:rsid w:val="00176869"/>
    <w:rsid w:val="0017739D"/>
    <w:rsid w:val="00177918"/>
    <w:rsid w:val="00180C84"/>
    <w:rsid w:val="00184F2F"/>
    <w:rsid w:val="00187A08"/>
    <w:rsid w:val="00190073"/>
    <w:rsid w:val="001912F4"/>
    <w:rsid w:val="001913DE"/>
    <w:rsid w:val="00191477"/>
    <w:rsid w:val="00192601"/>
    <w:rsid w:val="00195E6D"/>
    <w:rsid w:val="00196425"/>
    <w:rsid w:val="00197685"/>
    <w:rsid w:val="001A2630"/>
    <w:rsid w:val="001A2885"/>
    <w:rsid w:val="001A3151"/>
    <w:rsid w:val="001A404C"/>
    <w:rsid w:val="001B00E5"/>
    <w:rsid w:val="001B086F"/>
    <w:rsid w:val="001B3694"/>
    <w:rsid w:val="001B3B4D"/>
    <w:rsid w:val="001B4D14"/>
    <w:rsid w:val="001B520A"/>
    <w:rsid w:val="001B5AC5"/>
    <w:rsid w:val="001B6B6F"/>
    <w:rsid w:val="001B7002"/>
    <w:rsid w:val="001B7F9E"/>
    <w:rsid w:val="001C04FF"/>
    <w:rsid w:val="001C22F9"/>
    <w:rsid w:val="001C2B85"/>
    <w:rsid w:val="001C51A3"/>
    <w:rsid w:val="001C6511"/>
    <w:rsid w:val="001C7451"/>
    <w:rsid w:val="001C74AB"/>
    <w:rsid w:val="001C7922"/>
    <w:rsid w:val="001D01C8"/>
    <w:rsid w:val="001D185D"/>
    <w:rsid w:val="001D27E6"/>
    <w:rsid w:val="001D4FD8"/>
    <w:rsid w:val="001D63C8"/>
    <w:rsid w:val="001D7F82"/>
    <w:rsid w:val="001E2C16"/>
    <w:rsid w:val="001E30AB"/>
    <w:rsid w:val="001F2E3A"/>
    <w:rsid w:val="001F33CC"/>
    <w:rsid w:val="001F40F5"/>
    <w:rsid w:val="001F62DD"/>
    <w:rsid w:val="001F6E96"/>
    <w:rsid w:val="002049EC"/>
    <w:rsid w:val="00204D50"/>
    <w:rsid w:val="00214231"/>
    <w:rsid w:val="00214B7D"/>
    <w:rsid w:val="002165D0"/>
    <w:rsid w:val="002176F8"/>
    <w:rsid w:val="00220263"/>
    <w:rsid w:val="00221886"/>
    <w:rsid w:val="00221F8D"/>
    <w:rsid w:val="0022236A"/>
    <w:rsid w:val="00223803"/>
    <w:rsid w:val="00223D29"/>
    <w:rsid w:val="0022546C"/>
    <w:rsid w:val="00226EA7"/>
    <w:rsid w:val="00227BB6"/>
    <w:rsid w:val="00230B73"/>
    <w:rsid w:val="00231427"/>
    <w:rsid w:val="00233397"/>
    <w:rsid w:val="00234545"/>
    <w:rsid w:val="00236074"/>
    <w:rsid w:val="00236854"/>
    <w:rsid w:val="00240A4D"/>
    <w:rsid w:val="002413A0"/>
    <w:rsid w:val="0024147E"/>
    <w:rsid w:val="00241D85"/>
    <w:rsid w:val="00241E25"/>
    <w:rsid w:val="0024257B"/>
    <w:rsid w:val="00245F9F"/>
    <w:rsid w:val="00247898"/>
    <w:rsid w:val="00250660"/>
    <w:rsid w:val="00251504"/>
    <w:rsid w:val="0025211C"/>
    <w:rsid w:val="00252682"/>
    <w:rsid w:val="002606B9"/>
    <w:rsid w:val="00265908"/>
    <w:rsid w:val="00270E15"/>
    <w:rsid w:val="00281B2E"/>
    <w:rsid w:val="002859F3"/>
    <w:rsid w:val="002861BE"/>
    <w:rsid w:val="00290ADF"/>
    <w:rsid w:val="00290DE4"/>
    <w:rsid w:val="002928F9"/>
    <w:rsid w:val="00293A5D"/>
    <w:rsid w:val="00295BBA"/>
    <w:rsid w:val="002965A6"/>
    <w:rsid w:val="002A05F1"/>
    <w:rsid w:val="002A0B99"/>
    <w:rsid w:val="002A3E78"/>
    <w:rsid w:val="002A406D"/>
    <w:rsid w:val="002A4132"/>
    <w:rsid w:val="002A681C"/>
    <w:rsid w:val="002B1EB1"/>
    <w:rsid w:val="002B2CDF"/>
    <w:rsid w:val="002B3FC9"/>
    <w:rsid w:val="002B4BC1"/>
    <w:rsid w:val="002B7902"/>
    <w:rsid w:val="002C00BF"/>
    <w:rsid w:val="002C6AEC"/>
    <w:rsid w:val="002C7308"/>
    <w:rsid w:val="002C7906"/>
    <w:rsid w:val="002D0111"/>
    <w:rsid w:val="002D0D34"/>
    <w:rsid w:val="002D2390"/>
    <w:rsid w:val="002D4AAD"/>
    <w:rsid w:val="002D57E5"/>
    <w:rsid w:val="002D790D"/>
    <w:rsid w:val="002E0AD3"/>
    <w:rsid w:val="002E2774"/>
    <w:rsid w:val="002E3691"/>
    <w:rsid w:val="002E39E0"/>
    <w:rsid w:val="002E42B4"/>
    <w:rsid w:val="002E463B"/>
    <w:rsid w:val="002E4BFC"/>
    <w:rsid w:val="002E617F"/>
    <w:rsid w:val="002F117A"/>
    <w:rsid w:val="002F21A9"/>
    <w:rsid w:val="002F256E"/>
    <w:rsid w:val="002F3D76"/>
    <w:rsid w:val="002F47D0"/>
    <w:rsid w:val="002F4AB4"/>
    <w:rsid w:val="002F5804"/>
    <w:rsid w:val="002F59DE"/>
    <w:rsid w:val="002F5CD0"/>
    <w:rsid w:val="002F6A29"/>
    <w:rsid w:val="002F7005"/>
    <w:rsid w:val="00300677"/>
    <w:rsid w:val="00300EDC"/>
    <w:rsid w:val="00301E14"/>
    <w:rsid w:val="00302D64"/>
    <w:rsid w:val="00303B81"/>
    <w:rsid w:val="003066C7"/>
    <w:rsid w:val="0030784B"/>
    <w:rsid w:val="00307E49"/>
    <w:rsid w:val="003104CE"/>
    <w:rsid w:val="003122FF"/>
    <w:rsid w:val="003131E5"/>
    <w:rsid w:val="0031382C"/>
    <w:rsid w:val="003165F0"/>
    <w:rsid w:val="00316982"/>
    <w:rsid w:val="00316AD7"/>
    <w:rsid w:val="003173E3"/>
    <w:rsid w:val="00317655"/>
    <w:rsid w:val="00320C52"/>
    <w:rsid w:val="003225E4"/>
    <w:rsid w:val="00322D67"/>
    <w:rsid w:val="00324103"/>
    <w:rsid w:val="00324E55"/>
    <w:rsid w:val="00325517"/>
    <w:rsid w:val="00327691"/>
    <w:rsid w:val="00331627"/>
    <w:rsid w:val="00333936"/>
    <w:rsid w:val="00333B2D"/>
    <w:rsid w:val="00335D0D"/>
    <w:rsid w:val="00340513"/>
    <w:rsid w:val="00341B2B"/>
    <w:rsid w:val="003444A2"/>
    <w:rsid w:val="00345187"/>
    <w:rsid w:val="003461A9"/>
    <w:rsid w:val="003502F7"/>
    <w:rsid w:val="0035411C"/>
    <w:rsid w:val="00354A29"/>
    <w:rsid w:val="0035657D"/>
    <w:rsid w:val="003630AE"/>
    <w:rsid w:val="00366226"/>
    <w:rsid w:val="0037265C"/>
    <w:rsid w:val="00372847"/>
    <w:rsid w:val="00372BED"/>
    <w:rsid w:val="003735CA"/>
    <w:rsid w:val="00377948"/>
    <w:rsid w:val="0038080F"/>
    <w:rsid w:val="00381EAE"/>
    <w:rsid w:val="00383975"/>
    <w:rsid w:val="00384078"/>
    <w:rsid w:val="00384835"/>
    <w:rsid w:val="00384CE3"/>
    <w:rsid w:val="00385740"/>
    <w:rsid w:val="003877AE"/>
    <w:rsid w:val="003918B1"/>
    <w:rsid w:val="00395116"/>
    <w:rsid w:val="00397749"/>
    <w:rsid w:val="0039784C"/>
    <w:rsid w:val="003A139F"/>
    <w:rsid w:val="003A30B3"/>
    <w:rsid w:val="003A49A0"/>
    <w:rsid w:val="003A55D5"/>
    <w:rsid w:val="003A5B3D"/>
    <w:rsid w:val="003A7106"/>
    <w:rsid w:val="003A7259"/>
    <w:rsid w:val="003B0E30"/>
    <w:rsid w:val="003B1C42"/>
    <w:rsid w:val="003B5E18"/>
    <w:rsid w:val="003B643B"/>
    <w:rsid w:val="003B6C36"/>
    <w:rsid w:val="003B7214"/>
    <w:rsid w:val="003C33D9"/>
    <w:rsid w:val="003C6123"/>
    <w:rsid w:val="003C657B"/>
    <w:rsid w:val="003C68CE"/>
    <w:rsid w:val="003D0854"/>
    <w:rsid w:val="003D0A32"/>
    <w:rsid w:val="003D250C"/>
    <w:rsid w:val="003D3A19"/>
    <w:rsid w:val="003D45E4"/>
    <w:rsid w:val="003D6452"/>
    <w:rsid w:val="003D6712"/>
    <w:rsid w:val="003E1645"/>
    <w:rsid w:val="003E2404"/>
    <w:rsid w:val="003E2877"/>
    <w:rsid w:val="003E2A04"/>
    <w:rsid w:val="003E4607"/>
    <w:rsid w:val="003E59F6"/>
    <w:rsid w:val="003E654B"/>
    <w:rsid w:val="003F0EE8"/>
    <w:rsid w:val="003F18FA"/>
    <w:rsid w:val="003F19C0"/>
    <w:rsid w:val="003F524D"/>
    <w:rsid w:val="003F5EAF"/>
    <w:rsid w:val="004015A4"/>
    <w:rsid w:val="00402796"/>
    <w:rsid w:val="004053D0"/>
    <w:rsid w:val="00406676"/>
    <w:rsid w:val="00406FCD"/>
    <w:rsid w:val="00413207"/>
    <w:rsid w:val="0041609A"/>
    <w:rsid w:val="00417916"/>
    <w:rsid w:val="00420257"/>
    <w:rsid w:val="004203F8"/>
    <w:rsid w:val="004204D4"/>
    <w:rsid w:val="00423788"/>
    <w:rsid w:val="00425A42"/>
    <w:rsid w:val="00426251"/>
    <w:rsid w:val="004269AE"/>
    <w:rsid w:val="0042755C"/>
    <w:rsid w:val="00432FC4"/>
    <w:rsid w:val="00433B59"/>
    <w:rsid w:val="0043433B"/>
    <w:rsid w:val="00434ACC"/>
    <w:rsid w:val="004351CD"/>
    <w:rsid w:val="00436468"/>
    <w:rsid w:val="00440225"/>
    <w:rsid w:val="00441615"/>
    <w:rsid w:val="004418E3"/>
    <w:rsid w:val="00441F66"/>
    <w:rsid w:val="00442A8E"/>
    <w:rsid w:val="00442CEF"/>
    <w:rsid w:val="00443766"/>
    <w:rsid w:val="00444568"/>
    <w:rsid w:val="00447986"/>
    <w:rsid w:val="00450B1E"/>
    <w:rsid w:val="004541C9"/>
    <w:rsid w:val="004554DE"/>
    <w:rsid w:val="0046030A"/>
    <w:rsid w:val="00460A99"/>
    <w:rsid w:val="00460E89"/>
    <w:rsid w:val="0046183A"/>
    <w:rsid w:val="00462D04"/>
    <w:rsid w:val="00463B12"/>
    <w:rsid w:val="00464282"/>
    <w:rsid w:val="00465E90"/>
    <w:rsid w:val="00467565"/>
    <w:rsid w:val="004679E0"/>
    <w:rsid w:val="004706D3"/>
    <w:rsid w:val="00470E33"/>
    <w:rsid w:val="0047212E"/>
    <w:rsid w:val="004752E1"/>
    <w:rsid w:val="00476266"/>
    <w:rsid w:val="004778AD"/>
    <w:rsid w:val="004841C3"/>
    <w:rsid w:val="00484C58"/>
    <w:rsid w:val="0048557B"/>
    <w:rsid w:val="00490188"/>
    <w:rsid w:val="00491CD1"/>
    <w:rsid w:val="0049484E"/>
    <w:rsid w:val="00495113"/>
    <w:rsid w:val="00495E85"/>
    <w:rsid w:val="004976FA"/>
    <w:rsid w:val="0049771F"/>
    <w:rsid w:val="004A0DB4"/>
    <w:rsid w:val="004A1166"/>
    <w:rsid w:val="004A5488"/>
    <w:rsid w:val="004A559B"/>
    <w:rsid w:val="004A690B"/>
    <w:rsid w:val="004A7CFA"/>
    <w:rsid w:val="004B0111"/>
    <w:rsid w:val="004B04BC"/>
    <w:rsid w:val="004B1170"/>
    <w:rsid w:val="004B4C59"/>
    <w:rsid w:val="004B68B1"/>
    <w:rsid w:val="004B70F9"/>
    <w:rsid w:val="004C0A6B"/>
    <w:rsid w:val="004C10F9"/>
    <w:rsid w:val="004C2F51"/>
    <w:rsid w:val="004C3790"/>
    <w:rsid w:val="004C3AE1"/>
    <w:rsid w:val="004C50D8"/>
    <w:rsid w:val="004C751E"/>
    <w:rsid w:val="004D01EA"/>
    <w:rsid w:val="004D3196"/>
    <w:rsid w:val="004D4320"/>
    <w:rsid w:val="004D726B"/>
    <w:rsid w:val="004D7A38"/>
    <w:rsid w:val="004E0655"/>
    <w:rsid w:val="004E0C57"/>
    <w:rsid w:val="004E241F"/>
    <w:rsid w:val="004E3577"/>
    <w:rsid w:val="004E4581"/>
    <w:rsid w:val="004E5CF5"/>
    <w:rsid w:val="004E5E58"/>
    <w:rsid w:val="004E6570"/>
    <w:rsid w:val="004E7C48"/>
    <w:rsid w:val="004F0E58"/>
    <w:rsid w:val="004F1662"/>
    <w:rsid w:val="004F2116"/>
    <w:rsid w:val="004F258B"/>
    <w:rsid w:val="004F3956"/>
    <w:rsid w:val="004F3EFC"/>
    <w:rsid w:val="004F418B"/>
    <w:rsid w:val="004F49F5"/>
    <w:rsid w:val="004F4AEC"/>
    <w:rsid w:val="004F4D07"/>
    <w:rsid w:val="004F51D0"/>
    <w:rsid w:val="004F7B32"/>
    <w:rsid w:val="00504968"/>
    <w:rsid w:val="005064EE"/>
    <w:rsid w:val="00506A22"/>
    <w:rsid w:val="005133DA"/>
    <w:rsid w:val="00513CBF"/>
    <w:rsid w:val="00514A58"/>
    <w:rsid w:val="00517E7C"/>
    <w:rsid w:val="0052158A"/>
    <w:rsid w:val="00525C88"/>
    <w:rsid w:val="00526725"/>
    <w:rsid w:val="00527897"/>
    <w:rsid w:val="005320B5"/>
    <w:rsid w:val="005325CD"/>
    <w:rsid w:val="0053543C"/>
    <w:rsid w:val="00535D66"/>
    <w:rsid w:val="00542CE4"/>
    <w:rsid w:val="00543664"/>
    <w:rsid w:val="00551296"/>
    <w:rsid w:val="00552424"/>
    <w:rsid w:val="00552C6A"/>
    <w:rsid w:val="0055791E"/>
    <w:rsid w:val="00557A12"/>
    <w:rsid w:val="00560476"/>
    <w:rsid w:val="00561898"/>
    <w:rsid w:val="00561BE8"/>
    <w:rsid w:val="00561DAF"/>
    <w:rsid w:val="005624E7"/>
    <w:rsid w:val="00562E10"/>
    <w:rsid w:val="0056306C"/>
    <w:rsid w:val="005663C7"/>
    <w:rsid w:val="00566576"/>
    <w:rsid w:val="00567110"/>
    <w:rsid w:val="005813A6"/>
    <w:rsid w:val="00581CBC"/>
    <w:rsid w:val="00582D5A"/>
    <w:rsid w:val="005841EB"/>
    <w:rsid w:val="0058660D"/>
    <w:rsid w:val="00586A2C"/>
    <w:rsid w:val="0059035D"/>
    <w:rsid w:val="00592B7C"/>
    <w:rsid w:val="00593393"/>
    <w:rsid w:val="005934D3"/>
    <w:rsid w:val="005939BC"/>
    <w:rsid w:val="0059639A"/>
    <w:rsid w:val="005A259C"/>
    <w:rsid w:val="005A26E7"/>
    <w:rsid w:val="005A39A2"/>
    <w:rsid w:val="005A507B"/>
    <w:rsid w:val="005A56F9"/>
    <w:rsid w:val="005A6AB8"/>
    <w:rsid w:val="005A7BB9"/>
    <w:rsid w:val="005B216F"/>
    <w:rsid w:val="005B399D"/>
    <w:rsid w:val="005B614E"/>
    <w:rsid w:val="005B648C"/>
    <w:rsid w:val="005B76D5"/>
    <w:rsid w:val="005C30D4"/>
    <w:rsid w:val="005C322F"/>
    <w:rsid w:val="005C3310"/>
    <w:rsid w:val="005C3AD7"/>
    <w:rsid w:val="005C4615"/>
    <w:rsid w:val="005C4F9B"/>
    <w:rsid w:val="005C5103"/>
    <w:rsid w:val="005C7921"/>
    <w:rsid w:val="005C7A07"/>
    <w:rsid w:val="005D2C27"/>
    <w:rsid w:val="005D47B7"/>
    <w:rsid w:val="005D5452"/>
    <w:rsid w:val="005E225F"/>
    <w:rsid w:val="005E2BE6"/>
    <w:rsid w:val="005E33BC"/>
    <w:rsid w:val="005E3C4A"/>
    <w:rsid w:val="005E7AC0"/>
    <w:rsid w:val="005F0AB4"/>
    <w:rsid w:val="005F1999"/>
    <w:rsid w:val="005F33CF"/>
    <w:rsid w:val="005F347C"/>
    <w:rsid w:val="005F4A50"/>
    <w:rsid w:val="00601D9D"/>
    <w:rsid w:val="00602F4A"/>
    <w:rsid w:val="00603BF7"/>
    <w:rsid w:val="00604330"/>
    <w:rsid w:val="00604B9A"/>
    <w:rsid w:val="00610C43"/>
    <w:rsid w:val="00614D11"/>
    <w:rsid w:val="00614FBA"/>
    <w:rsid w:val="00615D71"/>
    <w:rsid w:val="00616161"/>
    <w:rsid w:val="0061622F"/>
    <w:rsid w:val="0061732F"/>
    <w:rsid w:val="00620011"/>
    <w:rsid w:val="00620C1A"/>
    <w:rsid w:val="006242EA"/>
    <w:rsid w:val="00624AD1"/>
    <w:rsid w:val="00625066"/>
    <w:rsid w:val="0062585C"/>
    <w:rsid w:val="00626450"/>
    <w:rsid w:val="00626616"/>
    <w:rsid w:val="00626A58"/>
    <w:rsid w:val="006271C8"/>
    <w:rsid w:val="00630094"/>
    <w:rsid w:val="006306CC"/>
    <w:rsid w:val="006331E5"/>
    <w:rsid w:val="00634582"/>
    <w:rsid w:val="006361AA"/>
    <w:rsid w:val="006366CC"/>
    <w:rsid w:val="0063692F"/>
    <w:rsid w:val="0063705A"/>
    <w:rsid w:val="006372E1"/>
    <w:rsid w:val="006416CF"/>
    <w:rsid w:val="0064302A"/>
    <w:rsid w:val="00643747"/>
    <w:rsid w:val="0064757C"/>
    <w:rsid w:val="006558EC"/>
    <w:rsid w:val="00655B6E"/>
    <w:rsid w:val="00655EA2"/>
    <w:rsid w:val="00657AA2"/>
    <w:rsid w:val="00657BF5"/>
    <w:rsid w:val="00660EEF"/>
    <w:rsid w:val="00665CEB"/>
    <w:rsid w:val="0066681B"/>
    <w:rsid w:val="00670248"/>
    <w:rsid w:val="0067040F"/>
    <w:rsid w:val="00671F6A"/>
    <w:rsid w:val="00672487"/>
    <w:rsid w:val="00673BF8"/>
    <w:rsid w:val="00675EEF"/>
    <w:rsid w:val="00677325"/>
    <w:rsid w:val="00680173"/>
    <w:rsid w:val="006809F9"/>
    <w:rsid w:val="00681DF3"/>
    <w:rsid w:val="006824FC"/>
    <w:rsid w:val="0068324E"/>
    <w:rsid w:val="0068606F"/>
    <w:rsid w:val="006868E6"/>
    <w:rsid w:val="00686F21"/>
    <w:rsid w:val="006903A3"/>
    <w:rsid w:val="00690B10"/>
    <w:rsid w:val="006A11B9"/>
    <w:rsid w:val="006A1652"/>
    <w:rsid w:val="006A297B"/>
    <w:rsid w:val="006A3E6E"/>
    <w:rsid w:val="006A4D9B"/>
    <w:rsid w:val="006A4EB8"/>
    <w:rsid w:val="006A5DAF"/>
    <w:rsid w:val="006A77CD"/>
    <w:rsid w:val="006A77FF"/>
    <w:rsid w:val="006A7CA4"/>
    <w:rsid w:val="006B1DFA"/>
    <w:rsid w:val="006B260C"/>
    <w:rsid w:val="006B2655"/>
    <w:rsid w:val="006B3162"/>
    <w:rsid w:val="006B360C"/>
    <w:rsid w:val="006B7190"/>
    <w:rsid w:val="006C06CA"/>
    <w:rsid w:val="006C0CF5"/>
    <w:rsid w:val="006C1813"/>
    <w:rsid w:val="006C2360"/>
    <w:rsid w:val="006C23D4"/>
    <w:rsid w:val="006C3432"/>
    <w:rsid w:val="006C4C31"/>
    <w:rsid w:val="006C4ED6"/>
    <w:rsid w:val="006C7A48"/>
    <w:rsid w:val="006D329E"/>
    <w:rsid w:val="006D3DC9"/>
    <w:rsid w:val="006D49BB"/>
    <w:rsid w:val="006D50A4"/>
    <w:rsid w:val="006D77B9"/>
    <w:rsid w:val="006E4767"/>
    <w:rsid w:val="006E4967"/>
    <w:rsid w:val="006E66FB"/>
    <w:rsid w:val="006E77CC"/>
    <w:rsid w:val="006E7B61"/>
    <w:rsid w:val="006F4CB7"/>
    <w:rsid w:val="006F6DC3"/>
    <w:rsid w:val="006F7BBC"/>
    <w:rsid w:val="006F7FFA"/>
    <w:rsid w:val="00702355"/>
    <w:rsid w:val="00702794"/>
    <w:rsid w:val="00702A96"/>
    <w:rsid w:val="00705582"/>
    <w:rsid w:val="00705EF4"/>
    <w:rsid w:val="00706522"/>
    <w:rsid w:val="0070692A"/>
    <w:rsid w:val="00715336"/>
    <w:rsid w:val="00715F19"/>
    <w:rsid w:val="007169A9"/>
    <w:rsid w:val="007201CF"/>
    <w:rsid w:val="0072203A"/>
    <w:rsid w:val="007231D4"/>
    <w:rsid w:val="007237DA"/>
    <w:rsid w:val="007239B7"/>
    <w:rsid w:val="00723D8F"/>
    <w:rsid w:val="007261E8"/>
    <w:rsid w:val="00726D67"/>
    <w:rsid w:val="00726F33"/>
    <w:rsid w:val="007376DA"/>
    <w:rsid w:val="00737A40"/>
    <w:rsid w:val="00740773"/>
    <w:rsid w:val="007419C2"/>
    <w:rsid w:val="0074359D"/>
    <w:rsid w:val="00743BE7"/>
    <w:rsid w:val="007452D7"/>
    <w:rsid w:val="00745692"/>
    <w:rsid w:val="00746492"/>
    <w:rsid w:val="00750BC7"/>
    <w:rsid w:val="00750FB7"/>
    <w:rsid w:val="00751587"/>
    <w:rsid w:val="00753CCA"/>
    <w:rsid w:val="00753DA5"/>
    <w:rsid w:val="00753F80"/>
    <w:rsid w:val="00754473"/>
    <w:rsid w:val="007549EE"/>
    <w:rsid w:val="00755422"/>
    <w:rsid w:val="00760654"/>
    <w:rsid w:val="007649DF"/>
    <w:rsid w:val="00764A8B"/>
    <w:rsid w:val="00766CD8"/>
    <w:rsid w:val="00767238"/>
    <w:rsid w:val="00767767"/>
    <w:rsid w:val="0077458B"/>
    <w:rsid w:val="0077491D"/>
    <w:rsid w:val="00775188"/>
    <w:rsid w:val="00780B79"/>
    <w:rsid w:val="00783E31"/>
    <w:rsid w:val="00783FE6"/>
    <w:rsid w:val="00784E7E"/>
    <w:rsid w:val="00784F9D"/>
    <w:rsid w:val="00790AC4"/>
    <w:rsid w:val="007915A0"/>
    <w:rsid w:val="00792541"/>
    <w:rsid w:val="0079415B"/>
    <w:rsid w:val="007961CB"/>
    <w:rsid w:val="00796DEF"/>
    <w:rsid w:val="007A0E19"/>
    <w:rsid w:val="007A194F"/>
    <w:rsid w:val="007A220D"/>
    <w:rsid w:val="007A36A0"/>
    <w:rsid w:val="007A44B7"/>
    <w:rsid w:val="007A5833"/>
    <w:rsid w:val="007A6C41"/>
    <w:rsid w:val="007A766A"/>
    <w:rsid w:val="007B1048"/>
    <w:rsid w:val="007B1DB7"/>
    <w:rsid w:val="007B2FE1"/>
    <w:rsid w:val="007B355C"/>
    <w:rsid w:val="007B40BE"/>
    <w:rsid w:val="007B4721"/>
    <w:rsid w:val="007B4806"/>
    <w:rsid w:val="007C10B2"/>
    <w:rsid w:val="007C3368"/>
    <w:rsid w:val="007C36DE"/>
    <w:rsid w:val="007C3C9E"/>
    <w:rsid w:val="007C461D"/>
    <w:rsid w:val="007C74B6"/>
    <w:rsid w:val="007D1150"/>
    <w:rsid w:val="007D136F"/>
    <w:rsid w:val="007D144E"/>
    <w:rsid w:val="007D2662"/>
    <w:rsid w:val="007D3B2B"/>
    <w:rsid w:val="007D63C5"/>
    <w:rsid w:val="007D6797"/>
    <w:rsid w:val="007E1B6D"/>
    <w:rsid w:val="007E33A8"/>
    <w:rsid w:val="007E4658"/>
    <w:rsid w:val="007E4E1D"/>
    <w:rsid w:val="007E5C3A"/>
    <w:rsid w:val="007E5F12"/>
    <w:rsid w:val="007E69AA"/>
    <w:rsid w:val="007F067C"/>
    <w:rsid w:val="007F094A"/>
    <w:rsid w:val="007F0998"/>
    <w:rsid w:val="007F1561"/>
    <w:rsid w:val="007F1ECA"/>
    <w:rsid w:val="007F2E2C"/>
    <w:rsid w:val="007F35C4"/>
    <w:rsid w:val="007F3A02"/>
    <w:rsid w:val="007F4122"/>
    <w:rsid w:val="007F426A"/>
    <w:rsid w:val="007F5A84"/>
    <w:rsid w:val="0080005C"/>
    <w:rsid w:val="00801000"/>
    <w:rsid w:val="00803A26"/>
    <w:rsid w:val="00804383"/>
    <w:rsid w:val="0080478C"/>
    <w:rsid w:val="00806395"/>
    <w:rsid w:val="008071B8"/>
    <w:rsid w:val="0080763C"/>
    <w:rsid w:val="00807BFA"/>
    <w:rsid w:val="0081060F"/>
    <w:rsid w:val="0081132D"/>
    <w:rsid w:val="008117E1"/>
    <w:rsid w:val="0081187D"/>
    <w:rsid w:val="00812A28"/>
    <w:rsid w:val="00816284"/>
    <w:rsid w:val="008246ED"/>
    <w:rsid w:val="008315D2"/>
    <w:rsid w:val="008323ED"/>
    <w:rsid w:val="00834319"/>
    <w:rsid w:val="008361C0"/>
    <w:rsid w:val="008379B2"/>
    <w:rsid w:val="008403E1"/>
    <w:rsid w:val="008408B3"/>
    <w:rsid w:val="0084228A"/>
    <w:rsid w:val="008429BC"/>
    <w:rsid w:val="00842B0E"/>
    <w:rsid w:val="00844D24"/>
    <w:rsid w:val="0084519E"/>
    <w:rsid w:val="00845526"/>
    <w:rsid w:val="00845C3B"/>
    <w:rsid w:val="00845E9D"/>
    <w:rsid w:val="0084769E"/>
    <w:rsid w:val="00851407"/>
    <w:rsid w:val="00851603"/>
    <w:rsid w:val="00851A12"/>
    <w:rsid w:val="0085245A"/>
    <w:rsid w:val="008547EC"/>
    <w:rsid w:val="00856BA4"/>
    <w:rsid w:val="0086245E"/>
    <w:rsid w:val="0086256A"/>
    <w:rsid w:val="008626A9"/>
    <w:rsid w:val="008635AD"/>
    <w:rsid w:val="00864832"/>
    <w:rsid w:val="0086484F"/>
    <w:rsid w:val="008658B3"/>
    <w:rsid w:val="0086706F"/>
    <w:rsid w:val="008678A4"/>
    <w:rsid w:val="00875667"/>
    <w:rsid w:val="0087682C"/>
    <w:rsid w:val="00881DF6"/>
    <w:rsid w:val="00882A0A"/>
    <w:rsid w:val="00883C2C"/>
    <w:rsid w:val="0088403A"/>
    <w:rsid w:val="00884142"/>
    <w:rsid w:val="00884626"/>
    <w:rsid w:val="00887279"/>
    <w:rsid w:val="0088778D"/>
    <w:rsid w:val="0089072E"/>
    <w:rsid w:val="00893088"/>
    <w:rsid w:val="00893CE1"/>
    <w:rsid w:val="00893F7F"/>
    <w:rsid w:val="00896AB1"/>
    <w:rsid w:val="00897108"/>
    <w:rsid w:val="008A010A"/>
    <w:rsid w:val="008A1E31"/>
    <w:rsid w:val="008A30E1"/>
    <w:rsid w:val="008A4778"/>
    <w:rsid w:val="008A5198"/>
    <w:rsid w:val="008A55DC"/>
    <w:rsid w:val="008A777A"/>
    <w:rsid w:val="008B0161"/>
    <w:rsid w:val="008B1382"/>
    <w:rsid w:val="008B138A"/>
    <w:rsid w:val="008B1D0C"/>
    <w:rsid w:val="008B4813"/>
    <w:rsid w:val="008C1538"/>
    <w:rsid w:val="008C1C38"/>
    <w:rsid w:val="008C2352"/>
    <w:rsid w:val="008C38EA"/>
    <w:rsid w:val="008C6310"/>
    <w:rsid w:val="008C74C3"/>
    <w:rsid w:val="008D03E1"/>
    <w:rsid w:val="008D0552"/>
    <w:rsid w:val="008D13E3"/>
    <w:rsid w:val="008D2B4D"/>
    <w:rsid w:val="008D337B"/>
    <w:rsid w:val="008D38C3"/>
    <w:rsid w:val="008D3E8E"/>
    <w:rsid w:val="008D44FD"/>
    <w:rsid w:val="008D6200"/>
    <w:rsid w:val="008E00C9"/>
    <w:rsid w:val="008E02C3"/>
    <w:rsid w:val="008E1EB5"/>
    <w:rsid w:val="008E22B8"/>
    <w:rsid w:val="008E37DB"/>
    <w:rsid w:val="008E4B9F"/>
    <w:rsid w:val="008E5136"/>
    <w:rsid w:val="008E653D"/>
    <w:rsid w:val="008E7D91"/>
    <w:rsid w:val="008F26C6"/>
    <w:rsid w:val="008F4A41"/>
    <w:rsid w:val="008F4FE7"/>
    <w:rsid w:val="008F67C9"/>
    <w:rsid w:val="009003AA"/>
    <w:rsid w:val="00900719"/>
    <w:rsid w:val="009013F2"/>
    <w:rsid w:val="00903886"/>
    <w:rsid w:val="009039F5"/>
    <w:rsid w:val="00903B26"/>
    <w:rsid w:val="00904E52"/>
    <w:rsid w:val="009059BB"/>
    <w:rsid w:val="00911EC1"/>
    <w:rsid w:val="0091445B"/>
    <w:rsid w:val="00922B5C"/>
    <w:rsid w:val="00923ECE"/>
    <w:rsid w:val="00927CB6"/>
    <w:rsid w:val="00931665"/>
    <w:rsid w:val="00931846"/>
    <w:rsid w:val="00932750"/>
    <w:rsid w:val="00933D73"/>
    <w:rsid w:val="0093570E"/>
    <w:rsid w:val="00935CC0"/>
    <w:rsid w:val="009376B6"/>
    <w:rsid w:val="009376C2"/>
    <w:rsid w:val="00944339"/>
    <w:rsid w:val="00951C4D"/>
    <w:rsid w:val="00951F8A"/>
    <w:rsid w:val="00952FD8"/>
    <w:rsid w:val="00953242"/>
    <w:rsid w:val="009612C9"/>
    <w:rsid w:val="00961525"/>
    <w:rsid w:val="00962E3D"/>
    <w:rsid w:val="00963B89"/>
    <w:rsid w:val="00964ABC"/>
    <w:rsid w:val="00965E3D"/>
    <w:rsid w:val="0097011E"/>
    <w:rsid w:val="009703AD"/>
    <w:rsid w:val="00971C41"/>
    <w:rsid w:val="0097253F"/>
    <w:rsid w:val="00973934"/>
    <w:rsid w:val="00977AF4"/>
    <w:rsid w:val="0098225C"/>
    <w:rsid w:val="009840FC"/>
    <w:rsid w:val="009842AE"/>
    <w:rsid w:val="00984457"/>
    <w:rsid w:val="009870A4"/>
    <w:rsid w:val="00992662"/>
    <w:rsid w:val="00992FF9"/>
    <w:rsid w:val="009A0A1A"/>
    <w:rsid w:val="009B260B"/>
    <w:rsid w:val="009B2C46"/>
    <w:rsid w:val="009B34B1"/>
    <w:rsid w:val="009B3936"/>
    <w:rsid w:val="009B4261"/>
    <w:rsid w:val="009B43AB"/>
    <w:rsid w:val="009B5E64"/>
    <w:rsid w:val="009B6ECF"/>
    <w:rsid w:val="009B700A"/>
    <w:rsid w:val="009B7329"/>
    <w:rsid w:val="009C110C"/>
    <w:rsid w:val="009C2BE4"/>
    <w:rsid w:val="009C2C37"/>
    <w:rsid w:val="009C2ED7"/>
    <w:rsid w:val="009C42AE"/>
    <w:rsid w:val="009C442F"/>
    <w:rsid w:val="009C5383"/>
    <w:rsid w:val="009C54CD"/>
    <w:rsid w:val="009C76CE"/>
    <w:rsid w:val="009D1781"/>
    <w:rsid w:val="009D35FF"/>
    <w:rsid w:val="009D370D"/>
    <w:rsid w:val="009D3DDA"/>
    <w:rsid w:val="009D449E"/>
    <w:rsid w:val="009D5718"/>
    <w:rsid w:val="009D7351"/>
    <w:rsid w:val="009D736A"/>
    <w:rsid w:val="009E1400"/>
    <w:rsid w:val="009E1E31"/>
    <w:rsid w:val="009E2C93"/>
    <w:rsid w:val="009E2F68"/>
    <w:rsid w:val="009E4262"/>
    <w:rsid w:val="009E729E"/>
    <w:rsid w:val="009E778B"/>
    <w:rsid w:val="009F0706"/>
    <w:rsid w:val="009F0D47"/>
    <w:rsid w:val="009F13F6"/>
    <w:rsid w:val="009F763D"/>
    <w:rsid w:val="00A01EB5"/>
    <w:rsid w:val="00A0244D"/>
    <w:rsid w:val="00A035B7"/>
    <w:rsid w:val="00A06EB9"/>
    <w:rsid w:val="00A078D0"/>
    <w:rsid w:val="00A10016"/>
    <w:rsid w:val="00A11588"/>
    <w:rsid w:val="00A1182F"/>
    <w:rsid w:val="00A11D7F"/>
    <w:rsid w:val="00A120E0"/>
    <w:rsid w:val="00A12D30"/>
    <w:rsid w:val="00A16438"/>
    <w:rsid w:val="00A16FBE"/>
    <w:rsid w:val="00A216D6"/>
    <w:rsid w:val="00A22A0B"/>
    <w:rsid w:val="00A2339A"/>
    <w:rsid w:val="00A24E7F"/>
    <w:rsid w:val="00A2590C"/>
    <w:rsid w:val="00A25A1F"/>
    <w:rsid w:val="00A25EB3"/>
    <w:rsid w:val="00A304F2"/>
    <w:rsid w:val="00A3088A"/>
    <w:rsid w:val="00A30B67"/>
    <w:rsid w:val="00A34628"/>
    <w:rsid w:val="00A369A1"/>
    <w:rsid w:val="00A37D7A"/>
    <w:rsid w:val="00A37DC2"/>
    <w:rsid w:val="00A402EC"/>
    <w:rsid w:val="00A4603F"/>
    <w:rsid w:val="00A46166"/>
    <w:rsid w:val="00A47910"/>
    <w:rsid w:val="00A500A4"/>
    <w:rsid w:val="00A50B30"/>
    <w:rsid w:val="00A519DD"/>
    <w:rsid w:val="00A5237A"/>
    <w:rsid w:val="00A52C51"/>
    <w:rsid w:val="00A54D5A"/>
    <w:rsid w:val="00A55C32"/>
    <w:rsid w:val="00A5665A"/>
    <w:rsid w:val="00A60579"/>
    <w:rsid w:val="00A60753"/>
    <w:rsid w:val="00A611BA"/>
    <w:rsid w:val="00A61DD7"/>
    <w:rsid w:val="00A627DC"/>
    <w:rsid w:val="00A63F12"/>
    <w:rsid w:val="00A70389"/>
    <w:rsid w:val="00A70984"/>
    <w:rsid w:val="00A725B2"/>
    <w:rsid w:val="00A726E9"/>
    <w:rsid w:val="00A74719"/>
    <w:rsid w:val="00A75925"/>
    <w:rsid w:val="00A75BA0"/>
    <w:rsid w:val="00A81ED8"/>
    <w:rsid w:val="00A85EC4"/>
    <w:rsid w:val="00A8681E"/>
    <w:rsid w:val="00A8736F"/>
    <w:rsid w:val="00A9029A"/>
    <w:rsid w:val="00A95168"/>
    <w:rsid w:val="00A96E41"/>
    <w:rsid w:val="00AA4056"/>
    <w:rsid w:val="00AA4D39"/>
    <w:rsid w:val="00AB1ECE"/>
    <w:rsid w:val="00AB3903"/>
    <w:rsid w:val="00AC0173"/>
    <w:rsid w:val="00AC0A58"/>
    <w:rsid w:val="00AC0D05"/>
    <w:rsid w:val="00AC1872"/>
    <w:rsid w:val="00AC4FAA"/>
    <w:rsid w:val="00AC6367"/>
    <w:rsid w:val="00AD0686"/>
    <w:rsid w:val="00AD0777"/>
    <w:rsid w:val="00AD4052"/>
    <w:rsid w:val="00AD4ABA"/>
    <w:rsid w:val="00AE04E2"/>
    <w:rsid w:val="00AE0786"/>
    <w:rsid w:val="00AE245F"/>
    <w:rsid w:val="00AE33C9"/>
    <w:rsid w:val="00AE52FC"/>
    <w:rsid w:val="00AE634C"/>
    <w:rsid w:val="00AE6765"/>
    <w:rsid w:val="00AE7F36"/>
    <w:rsid w:val="00AF031E"/>
    <w:rsid w:val="00AF1A26"/>
    <w:rsid w:val="00AF1D5B"/>
    <w:rsid w:val="00AF20A8"/>
    <w:rsid w:val="00AF21E9"/>
    <w:rsid w:val="00AF2EBD"/>
    <w:rsid w:val="00AF30A9"/>
    <w:rsid w:val="00AF6BE4"/>
    <w:rsid w:val="00AF73D5"/>
    <w:rsid w:val="00AF7401"/>
    <w:rsid w:val="00B009B0"/>
    <w:rsid w:val="00B00AFC"/>
    <w:rsid w:val="00B01ACE"/>
    <w:rsid w:val="00B01C34"/>
    <w:rsid w:val="00B01D7D"/>
    <w:rsid w:val="00B0233A"/>
    <w:rsid w:val="00B032B8"/>
    <w:rsid w:val="00B0583D"/>
    <w:rsid w:val="00B06661"/>
    <w:rsid w:val="00B06D6E"/>
    <w:rsid w:val="00B06E10"/>
    <w:rsid w:val="00B10EE6"/>
    <w:rsid w:val="00B11130"/>
    <w:rsid w:val="00B14AFC"/>
    <w:rsid w:val="00B159E3"/>
    <w:rsid w:val="00B15B07"/>
    <w:rsid w:val="00B162E5"/>
    <w:rsid w:val="00B16C44"/>
    <w:rsid w:val="00B22B91"/>
    <w:rsid w:val="00B236D0"/>
    <w:rsid w:val="00B23F5A"/>
    <w:rsid w:val="00B2561B"/>
    <w:rsid w:val="00B2599C"/>
    <w:rsid w:val="00B32E22"/>
    <w:rsid w:val="00B33822"/>
    <w:rsid w:val="00B34365"/>
    <w:rsid w:val="00B3541E"/>
    <w:rsid w:val="00B36008"/>
    <w:rsid w:val="00B36FE4"/>
    <w:rsid w:val="00B40C42"/>
    <w:rsid w:val="00B40F7E"/>
    <w:rsid w:val="00B41BAD"/>
    <w:rsid w:val="00B45555"/>
    <w:rsid w:val="00B50375"/>
    <w:rsid w:val="00B51782"/>
    <w:rsid w:val="00B521B6"/>
    <w:rsid w:val="00B54833"/>
    <w:rsid w:val="00B6008F"/>
    <w:rsid w:val="00B6092E"/>
    <w:rsid w:val="00B60965"/>
    <w:rsid w:val="00B60A44"/>
    <w:rsid w:val="00B63053"/>
    <w:rsid w:val="00B637FC"/>
    <w:rsid w:val="00B648CF"/>
    <w:rsid w:val="00B67B29"/>
    <w:rsid w:val="00B70F75"/>
    <w:rsid w:val="00B7131B"/>
    <w:rsid w:val="00B71553"/>
    <w:rsid w:val="00B7542B"/>
    <w:rsid w:val="00B763EE"/>
    <w:rsid w:val="00B767CC"/>
    <w:rsid w:val="00B76A89"/>
    <w:rsid w:val="00B77DF7"/>
    <w:rsid w:val="00B80361"/>
    <w:rsid w:val="00B8064C"/>
    <w:rsid w:val="00B80E63"/>
    <w:rsid w:val="00B81AA4"/>
    <w:rsid w:val="00B833E6"/>
    <w:rsid w:val="00B836AF"/>
    <w:rsid w:val="00B85F00"/>
    <w:rsid w:val="00B860F9"/>
    <w:rsid w:val="00B87105"/>
    <w:rsid w:val="00B87C8E"/>
    <w:rsid w:val="00B90187"/>
    <w:rsid w:val="00B92595"/>
    <w:rsid w:val="00B92600"/>
    <w:rsid w:val="00B9281E"/>
    <w:rsid w:val="00B94404"/>
    <w:rsid w:val="00B9477C"/>
    <w:rsid w:val="00B94D41"/>
    <w:rsid w:val="00B950AD"/>
    <w:rsid w:val="00B95857"/>
    <w:rsid w:val="00B95AFF"/>
    <w:rsid w:val="00B97969"/>
    <w:rsid w:val="00BA1C27"/>
    <w:rsid w:val="00BA298B"/>
    <w:rsid w:val="00BA2CE9"/>
    <w:rsid w:val="00BA2DB1"/>
    <w:rsid w:val="00BB09CF"/>
    <w:rsid w:val="00BB0E98"/>
    <w:rsid w:val="00BB56D8"/>
    <w:rsid w:val="00BC0B36"/>
    <w:rsid w:val="00BC156F"/>
    <w:rsid w:val="00BC5E5E"/>
    <w:rsid w:val="00BC7801"/>
    <w:rsid w:val="00BD2922"/>
    <w:rsid w:val="00BD565F"/>
    <w:rsid w:val="00BD56F2"/>
    <w:rsid w:val="00BD733B"/>
    <w:rsid w:val="00BE46CA"/>
    <w:rsid w:val="00BE4CAF"/>
    <w:rsid w:val="00BE66E7"/>
    <w:rsid w:val="00BE6729"/>
    <w:rsid w:val="00BE6B6B"/>
    <w:rsid w:val="00BE70C2"/>
    <w:rsid w:val="00BF00DF"/>
    <w:rsid w:val="00BF2F8A"/>
    <w:rsid w:val="00BF4DE9"/>
    <w:rsid w:val="00BF5816"/>
    <w:rsid w:val="00BF61BE"/>
    <w:rsid w:val="00C017D1"/>
    <w:rsid w:val="00C02B59"/>
    <w:rsid w:val="00C050B5"/>
    <w:rsid w:val="00C05CDB"/>
    <w:rsid w:val="00C06B9C"/>
    <w:rsid w:val="00C117AF"/>
    <w:rsid w:val="00C1250F"/>
    <w:rsid w:val="00C129BF"/>
    <w:rsid w:val="00C15072"/>
    <w:rsid w:val="00C201A0"/>
    <w:rsid w:val="00C222F0"/>
    <w:rsid w:val="00C259E0"/>
    <w:rsid w:val="00C326F3"/>
    <w:rsid w:val="00C32BE3"/>
    <w:rsid w:val="00C3625E"/>
    <w:rsid w:val="00C4124A"/>
    <w:rsid w:val="00C419FB"/>
    <w:rsid w:val="00C41DD6"/>
    <w:rsid w:val="00C434A0"/>
    <w:rsid w:val="00C471F3"/>
    <w:rsid w:val="00C5128C"/>
    <w:rsid w:val="00C53655"/>
    <w:rsid w:val="00C54DBE"/>
    <w:rsid w:val="00C56EF1"/>
    <w:rsid w:val="00C62343"/>
    <w:rsid w:val="00C62616"/>
    <w:rsid w:val="00C650D6"/>
    <w:rsid w:val="00C664A9"/>
    <w:rsid w:val="00C6754C"/>
    <w:rsid w:val="00C713BC"/>
    <w:rsid w:val="00C719D3"/>
    <w:rsid w:val="00C7214C"/>
    <w:rsid w:val="00C72287"/>
    <w:rsid w:val="00C7295C"/>
    <w:rsid w:val="00C72B1A"/>
    <w:rsid w:val="00C74F53"/>
    <w:rsid w:val="00C7630A"/>
    <w:rsid w:val="00C77EC4"/>
    <w:rsid w:val="00C8373F"/>
    <w:rsid w:val="00C859F7"/>
    <w:rsid w:val="00C87734"/>
    <w:rsid w:val="00C91A2F"/>
    <w:rsid w:val="00C91E15"/>
    <w:rsid w:val="00C947B6"/>
    <w:rsid w:val="00C94E9E"/>
    <w:rsid w:val="00C94F35"/>
    <w:rsid w:val="00C9533E"/>
    <w:rsid w:val="00C97A47"/>
    <w:rsid w:val="00C97BF2"/>
    <w:rsid w:val="00C97D27"/>
    <w:rsid w:val="00CA1B65"/>
    <w:rsid w:val="00CA2B99"/>
    <w:rsid w:val="00CA3FE7"/>
    <w:rsid w:val="00CA4126"/>
    <w:rsid w:val="00CA5E05"/>
    <w:rsid w:val="00CA67C0"/>
    <w:rsid w:val="00CB04A3"/>
    <w:rsid w:val="00CB1905"/>
    <w:rsid w:val="00CB38CA"/>
    <w:rsid w:val="00CC157B"/>
    <w:rsid w:val="00CC369F"/>
    <w:rsid w:val="00CC541F"/>
    <w:rsid w:val="00CD068E"/>
    <w:rsid w:val="00CD1607"/>
    <w:rsid w:val="00CD215B"/>
    <w:rsid w:val="00CD2BF9"/>
    <w:rsid w:val="00CD3C31"/>
    <w:rsid w:val="00CD4A59"/>
    <w:rsid w:val="00CD4D99"/>
    <w:rsid w:val="00CD604B"/>
    <w:rsid w:val="00CD6CED"/>
    <w:rsid w:val="00CE0581"/>
    <w:rsid w:val="00CE2B2F"/>
    <w:rsid w:val="00CE3851"/>
    <w:rsid w:val="00CE40FB"/>
    <w:rsid w:val="00CE43DE"/>
    <w:rsid w:val="00CE44F6"/>
    <w:rsid w:val="00CE6552"/>
    <w:rsid w:val="00CF16D9"/>
    <w:rsid w:val="00CF1C1F"/>
    <w:rsid w:val="00CF1F66"/>
    <w:rsid w:val="00CF21EB"/>
    <w:rsid w:val="00CF5762"/>
    <w:rsid w:val="00CF599D"/>
    <w:rsid w:val="00CF5F3B"/>
    <w:rsid w:val="00CF5F7D"/>
    <w:rsid w:val="00CF6103"/>
    <w:rsid w:val="00CF75EB"/>
    <w:rsid w:val="00CF78C3"/>
    <w:rsid w:val="00D00FFC"/>
    <w:rsid w:val="00D01FDD"/>
    <w:rsid w:val="00D0236A"/>
    <w:rsid w:val="00D025A9"/>
    <w:rsid w:val="00D03C4E"/>
    <w:rsid w:val="00D06906"/>
    <w:rsid w:val="00D06C06"/>
    <w:rsid w:val="00D10662"/>
    <w:rsid w:val="00D1132D"/>
    <w:rsid w:val="00D12D7D"/>
    <w:rsid w:val="00D1311F"/>
    <w:rsid w:val="00D17163"/>
    <w:rsid w:val="00D1777C"/>
    <w:rsid w:val="00D17B24"/>
    <w:rsid w:val="00D17DD0"/>
    <w:rsid w:val="00D21571"/>
    <w:rsid w:val="00D24555"/>
    <w:rsid w:val="00D24A60"/>
    <w:rsid w:val="00D25DEC"/>
    <w:rsid w:val="00D26DB4"/>
    <w:rsid w:val="00D27717"/>
    <w:rsid w:val="00D27EC4"/>
    <w:rsid w:val="00D30CB0"/>
    <w:rsid w:val="00D3166A"/>
    <w:rsid w:val="00D320AA"/>
    <w:rsid w:val="00D321B2"/>
    <w:rsid w:val="00D324A2"/>
    <w:rsid w:val="00D351B6"/>
    <w:rsid w:val="00D37F54"/>
    <w:rsid w:val="00D40701"/>
    <w:rsid w:val="00D440FB"/>
    <w:rsid w:val="00D449E8"/>
    <w:rsid w:val="00D454D3"/>
    <w:rsid w:val="00D45C1C"/>
    <w:rsid w:val="00D47429"/>
    <w:rsid w:val="00D5019F"/>
    <w:rsid w:val="00D51BC1"/>
    <w:rsid w:val="00D53724"/>
    <w:rsid w:val="00D543CC"/>
    <w:rsid w:val="00D55565"/>
    <w:rsid w:val="00D55B7B"/>
    <w:rsid w:val="00D56B3A"/>
    <w:rsid w:val="00D57DA9"/>
    <w:rsid w:val="00D60DD4"/>
    <w:rsid w:val="00D61652"/>
    <w:rsid w:val="00D61BC3"/>
    <w:rsid w:val="00D61BD4"/>
    <w:rsid w:val="00D6263E"/>
    <w:rsid w:val="00D63F1A"/>
    <w:rsid w:val="00D661B7"/>
    <w:rsid w:val="00D713DD"/>
    <w:rsid w:val="00D75E11"/>
    <w:rsid w:val="00D7664E"/>
    <w:rsid w:val="00D76AF1"/>
    <w:rsid w:val="00D77390"/>
    <w:rsid w:val="00D7760F"/>
    <w:rsid w:val="00D77997"/>
    <w:rsid w:val="00D83172"/>
    <w:rsid w:val="00D83E0E"/>
    <w:rsid w:val="00D84C8C"/>
    <w:rsid w:val="00D85989"/>
    <w:rsid w:val="00D85AA5"/>
    <w:rsid w:val="00D85FDC"/>
    <w:rsid w:val="00D8697B"/>
    <w:rsid w:val="00D912B6"/>
    <w:rsid w:val="00D93219"/>
    <w:rsid w:val="00D9585D"/>
    <w:rsid w:val="00D95C6C"/>
    <w:rsid w:val="00D96CBA"/>
    <w:rsid w:val="00D96CD1"/>
    <w:rsid w:val="00D97068"/>
    <w:rsid w:val="00D97AB2"/>
    <w:rsid w:val="00D97AD1"/>
    <w:rsid w:val="00D97B2A"/>
    <w:rsid w:val="00D97D97"/>
    <w:rsid w:val="00DA2510"/>
    <w:rsid w:val="00DA29A4"/>
    <w:rsid w:val="00DA337A"/>
    <w:rsid w:val="00DA3B27"/>
    <w:rsid w:val="00DA3BCB"/>
    <w:rsid w:val="00DA45A8"/>
    <w:rsid w:val="00DA542F"/>
    <w:rsid w:val="00DA6D88"/>
    <w:rsid w:val="00DB1258"/>
    <w:rsid w:val="00DB1667"/>
    <w:rsid w:val="00DB169B"/>
    <w:rsid w:val="00DB1F8E"/>
    <w:rsid w:val="00DB4B22"/>
    <w:rsid w:val="00DC013B"/>
    <w:rsid w:val="00DC355E"/>
    <w:rsid w:val="00DC3A43"/>
    <w:rsid w:val="00DC43DB"/>
    <w:rsid w:val="00DC4A99"/>
    <w:rsid w:val="00DC54B6"/>
    <w:rsid w:val="00DD09DF"/>
    <w:rsid w:val="00DD1787"/>
    <w:rsid w:val="00DD23B3"/>
    <w:rsid w:val="00DD5C36"/>
    <w:rsid w:val="00DE12B0"/>
    <w:rsid w:val="00DE2D6E"/>
    <w:rsid w:val="00DE2DC4"/>
    <w:rsid w:val="00DE3611"/>
    <w:rsid w:val="00DF2926"/>
    <w:rsid w:val="00DF2DBB"/>
    <w:rsid w:val="00DF3F39"/>
    <w:rsid w:val="00DF3FB4"/>
    <w:rsid w:val="00DF454D"/>
    <w:rsid w:val="00DF4A86"/>
    <w:rsid w:val="00DF7F23"/>
    <w:rsid w:val="00E0049E"/>
    <w:rsid w:val="00E007CF"/>
    <w:rsid w:val="00E01FB8"/>
    <w:rsid w:val="00E05242"/>
    <w:rsid w:val="00E05B30"/>
    <w:rsid w:val="00E06361"/>
    <w:rsid w:val="00E10B18"/>
    <w:rsid w:val="00E131F4"/>
    <w:rsid w:val="00E148EA"/>
    <w:rsid w:val="00E16C14"/>
    <w:rsid w:val="00E20882"/>
    <w:rsid w:val="00E22100"/>
    <w:rsid w:val="00E24097"/>
    <w:rsid w:val="00E24148"/>
    <w:rsid w:val="00E2551B"/>
    <w:rsid w:val="00E26B1C"/>
    <w:rsid w:val="00E26EA4"/>
    <w:rsid w:val="00E309F1"/>
    <w:rsid w:val="00E30D60"/>
    <w:rsid w:val="00E32B65"/>
    <w:rsid w:val="00E33B55"/>
    <w:rsid w:val="00E35434"/>
    <w:rsid w:val="00E35472"/>
    <w:rsid w:val="00E361C2"/>
    <w:rsid w:val="00E37D33"/>
    <w:rsid w:val="00E40652"/>
    <w:rsid w:val="00E411D7"/>
    <w:rsid w:val="00E41562"/>
    <w:rsid w:val="00E43F58"/>
    <w:rsid w:val="00E455B8"/>
    <w:rsid w:val="00E45C7C"/>
    <w:rsid w:val="00E47659"/>
    <w:rsid w:val="00E508CD"/>
    <w:rsid w:val="00E5137D"/>
    <w:rsid w:val="00E51B63"/>
    <w:rsid w:val="00E5210E"/>
    <w:rsid w:val="00E52284"/>
    <w:rsid w:val="00E5406F"/>
    <w:rsid w:val="00E55B7A"/>
    <w:rsid w:val="00E6427B"/>
    <w:rsid w:val="00E64A1B"/>
    <w:rsid w:val="00E65DAE"/>
    <w:rsid w:val="00E6679D"/>
    <w:rsid w:val="00E67A41"/>
    <w:rsid w:val="00E72B05"/>
    <w:rsid w:val="00E74681"/>
    <w:rsid w:val="00E75233"/>
    <w:rsid w:val="00E76F7E"/>
    <w:rsid w:val="00E809A1"/>
    <w:rsid w:val="00E820A5"/>
    <w:rsid w:val="00E83A83"/>
    <w:rsid w:val="00E8452E"/>
    <w:rsid w:val="00E848D8"/>
    <w:rsid w:val="00E849E9"/>
    <w:rsid w:val="00E85B8F"/>
    <w:rsid w:val="00E86BDD"/>
    <w:rsid w:val="00E87EA0"/>
    <w:rsid w:val="00E924A8"/>
    <w:rsid w:val="00E92666"/>
    <w:rsid w:val="00E92AED"/>
    <w:rsid w:val="00E9425E"/>
    <w:rsid w:val="00E9779F"/>
    <w:rsid w:val="00E97F02"/>
    <w:rsid w:val="00EA2912"/>
    <w:rsid w:val="00EA574D"/>
    <w:rsid w:val="00EA608E"/>
    <w:rsid w:val="00EA7D98"/>
    <w:rsid w:val="00EB0ED0"/>
    <w:rsid w:val="00EB0EFD"/>
    <w:rsid w:val="00EB327F"/>
    <w:rsid w:val="00EB370A"/>
    <w:rsid w:val="00EC17FD"/>
    <w:rsid w:val="00EC4475"/>
    <w:rsid w:val="00EC68A1"/>
    <w:rsid w:val="00EC6A64"/>
    <w:rsid w:val="00EC780B"/>
    <w:rsid w:val="00ED1938"/>
    <w:rsid w:val="00ED1A40"/>
    <w:rsid w:val="00ED2969"/>
    <w:rsid w:val="00ED2F09"/>
    <w:rsid w:val="00ED50D9"/>
    <w:rsid w:val="00ED5980"/>
    <w:rsid w:val="00ED5E50"/>
    <w:rsid w:val="00ED6867"/>
    <w:rsid w:val="00EE19FF"/>
    <w:rsid w:val="00EE2953"/>
    <w:rsid w:val="00EE481D"/>
    <w:rsid w:val="00EE64A1"/>
    <w:rsid w:val="00EE72AA"/>
    <w:rsid w:val="00EE7614"/>
    <w:rsid w:val="00EE7E4C"/>
    <w:rsid w:val="00EF03B7"/>
    <w:rsid w:val="00EF1123"/>
    <w:rsid w:val="00EF3DBA"/>
    <w:rsid w:val="00EF4384"/>
    <w:rsid w:val="00EF4CFB"/>
    <w:rsid w:val="00EF7296"/>
    <w:rsid w:val="00F01E16"/>
    <w:rsid w:val="00F039A9"/>
    <w:rsid w:val="00F04A8B"/>
    <w:rsid w:val="00F04E53"/>
    <w:rsid w:val="00F062F1"/>
    <w:rsid w:val="00F06DDA"/>
    <w:rsid w:val="00F07FEF"/>
    <w:rsid w:val="00F108C2"/>
    <w:rsid w:val="00F10CE0"/>
    <w:rsid w:val="00F1171A"/>
    <w:rsid w:val="00F12FCF"/>
    <w:rsid w:val="00F13F7D"/>
    <w:rsid w:val="00F1715F"/>
    <w:rsid w:val="00F17272"/>
    <w:rsid w:val="00F20C96"/>
    <w:rsid w:val="00F21325"/>
    <w:rsid w:val="00F22FA2"/>
    <w:rsid w:val="00F26131"/>
    <w:rsid w:val="00F26196"/>
    <w:rsid w:val="00F31135"/>
    <w:rsid w:val="00F31C41"/>
    <w:rsid w:val="00F32012"/>
    <w:rsid w:val="00F320A4"/>
    <w:rsid w:val="00F333AC"/>
    <w:rsid w:val="00F34034"/>
    <w:rsid w:val="00F3512B"/>
    <w:rsid w:val="00F353B1"/>
    <w:rsid w:val="00F36021"/>
    <w:rsid w:val="00F405EC"/>
    <w:rsid w:val="00F41FF2"/>
    <w:rsid w:val="00F4719A"/>
    <w:rsid w:val="00F52B43"/>
    <w:rsid w:val="00F541C7"/>
    <w:rsid w:val="00F558A1"/>
    <w:rsid w:val="00F558B5"/>
    <w:rsid w:val="00F558D4"/>
    <w:rsid w:val="00F55EE9"/>
    <w:rsid w:val="00F57AD8"/>
    <w:rsid w:val="00F616AF"/>
    <w:rsid w:val="00F61A5F"/>
    <w:rsid w:val="00F626D2"/>
    <w:rsid w:val="00F63154"/>
    <w:rsid w:val="00F6380E"/>
    <w:rsid w:val="00F649B1"/>
    <w:rsid w:val="00F65663"/>
    <w:rsid w:val="00F65B5D"/>
    <w:rsid w:val="00F65C05"/>
    <w:rsid w:val="00F67682"/>
    <w:rsid w:val="00F73610"/>
    <w:rsid w:val="00F74523"/>
    <w:rsid w:val="00F802DF"/>
    <w:rsid w:val="00F81223"/>
    <w:rsid w:val="00F8184E"/>
    <w:rsid w:val="00F827CC"/>
    <w:rsid w:val="00F83D21"/>
    <w:rsid w:val="00F86163"/>
    <w:rsid w:val="00F86DBE"/>
    <w:rsid w:val="00F90438"/>
    <w:rsid w:val="00F91661"/>
    <w:rsid w:val="00F91E62"/>
    <w:rsid w:val="00F94F34"/>
    <w:rsid w:val="00F95BED"/>
    <w:rsid w:val="00F9706F"/>
    <w:rsid w:val="00FA037E"/>
    <w:rsid w:val="00FA0A5A"/>
    <w:rsid w:val="00FA6653"/>
    <w:rsid w:val="00FA6D60"/>
    <w:rsid w:val="00FB5905"/>
    <w:rsid w:val="00FB7ED9"/>
    <w:rsid w:val="00FC3B24"/>
    <w:rsid w:val="00FC3C20"/>
    <w:rsid w:val="00FC7802"/>
    <w:rsid w:val="00FD2535"/>
    <w:rsid w:val="00FD3770"/>
    <w:rsid w:val="00FD444A"/>
    <w:rsid w:val="00FD53FB"/>
    <w:rsid w:val="00FE2C2E"/>
    <w:rsid w:val="00FE4D0D"/>
    <w:rsid w:val="00FE4EE1"/>
    <w:rsid w:val="00FE515D"/>
    <w:rsid w:val="00FE64D6"/>
    <w:rsid w:val="00FF040B"/>
    <w:rsid w:val="00FF04EE"/>
    <w:rsid w:val="00FF080C"/>
    <w:rsid w:val="00FF0C9B"/>
    <w:rsid w:val="00FF1A42"/>
    <w:rsid w:val="00FF4151"/>
    <w:rsid w:val="00FF6E82"/>
    <w:rsid w:val="00FF7D40"/>
    <w:rsid w:val="014E09EF"/>
    <w:rsid w:val="50A16F94"/>
    <w:rsid w:val="7F20D1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3CE9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en-GB" w:eastAsia="fr-BE" w:bidi="ar-SA"/>
      </w:rPr>
    </w:rPrDefault>
    <w:pPrDefault/>
  </w:docDefaults>
  <w:latentStyles w:defLockedState="1" w:defUIPriority="0" w:defSemiHidden="0" w:defUnhideWhenUsed="0" w:defQFormat="0" w:count="371">
    <w:lsdException w:name="Normal" w:uiPriority="1" w:qFormat="1"/>
    <w:lsdException w:name="heading 1" w:uiPriority="9" w:qFormat="1"/>
    <w:lsdException w:name="heading 2" w:uiPriority="9" w:qFormat="1"/>
    <w:lsdException w:name="heading 3" w:uiPriority="9" w:qFormat="1"/>
    <w:lsdException w:name="heading 4"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uiPriority="99" w:unhideWhenUsed="1" w:qFormat="1"/>
    <w:lsdException w:name="annotation text" w:semiHidden="1" w:uiPriority="99"/>
    <w:lsdException w:name="header" w:uiPriority="99"/>
    <w:lsdException w:name="footer" w:uiPriority="99"/>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uiPriority="99" w:qFormat="1"/>
    <w:lsdException w:name="annotation reference" w:semiHidden="1" w:uiPriority="99"/>
    <w:lsdException w:name="line number" w:semiHidden="1"/>
    <w:lsdException w:name="page number" w:semiHidden="1"/>
    <w:lsdException w:name="endnote reference" w:semiHidden="1"/>
    <w:lsdException w:name="endnote text" w:unhideWhenUsed="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1"/>
    <w:lsdException w:name="List Bullet 3" w:uiPriority="1"/>
    <w:lsdException w:name="List Bullet 4" w:uiPriority="1"/>
    <w:lsdException w:name="List Bullet 5" w:semiHidden="1"/>
    <w:lsdException w:name="List Number 2" w:uiPriority="1"/>
    <w:lsdException w:name="List Number 3" w:uiPriority="1"/>
    <w:lsdException w:name="List Number 4" w:uiPriority="1"/>
    <w:lsdException w:name="List Number 5" w:semiHidden="1"/>
    <w:lsdException w:name="Title" w:uiPriority="10" w:qFormat="1"/>
    <w:lsdException w:name="Closing" w:uiPriority="2"/>
    <w:lsdException w:name="Signature" w:uiPriority="2"/>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uiPriority="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99"/>
    <w:lsdException w:name="FollowedHyperlink" w:semiHidden="1" w:uiPriority="99"/>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iPriority="99"/>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lsdException w:name="Grid Table 7 Colorful Accent 6" w:uiPriority="52"/>
  </w:latentStyles>
  <w:style w:type="paragraph" w:default="1" w:styleId="Normal">
    <w:name w:val="Normal"/>
    <w:uiPriority w:val="1"/>
    <w:qFormat/>
    <w:pPr>
      <w:spacing w:after="240"/>
      <w:jc w:val="both"/>
    </w:pPr>
  </w:style>
  <w:style w:type="paragraph" w:styleId="Heading1">
    <w:name w:val="heading 1"/>
    <w:basedOn w:val="Normal"/>
    <w:next w:val="Text1"/>
    <w:link w:val="Heading1Char"/>
    <w:uiPriority w:val="9"/>
    <w:qFormat/>
    <w:pPr>
      <w:keepNext/>
      <w:numPr>
        <w:numId w:val="4"/>
      </w:numPr>
      <w:spacing w:before="240"/>
      <w:outlineLvl w:val="0"/>
    </w:pPr>
    <w:rPr>
      <w:b/>
      <w:smallCaps/>
    </w:rPr>
  </w:style>
  <w:style w:type="paragraph" w:styleId="Heading2">
    <w:name w:val="heading 2"/>
    <w:basedOn w:val="Normal"/>
    <w:next w:val="Text2"/>
    <w:link w:val="Heading2Char"/>
    <w:uiPriority w:val="9"/>
    <w:qFormat/>
    <w:pPr>
      <w:keepNext/>
      <w:numPr>
        <w:ilvl w:val="1"/>
        <w:numId w:val="4"/>
      </w:numPr>
      <w:outlineLvl w:val="1"/>
    </w:pPr>
    <w:rPr>
      <w:b/>
    </w:rPr>
  </w:style>
  <w:style w:type="paragraph" w:styleId="Heading3">
    <w:name w:val="heading 3"/>
    <w:basedOn w:val="Normal"/>
    <w:next w:val="Text3"/>
    <w:link w:val="Heading3Char"/>
    <w:uiPriority w:val="9"/>
    <w:qFormat/>
    <w:pPr>
      <w:keepNext/>
      <w:numPr>
        <w:ilvl w:val="2"/>
        <w:numId w:val="4"/>
      </w:numPr>
      <w:outlineLvl w:val="2"/>
    </w:pPr>
    <w:rPr>
      <w:i/>
    </w:rPr>
  </w:style>
  <w:style w:type="paragraph" w:styleId="Heading4">
    <w:name w:val="heading 4"/>
    <w:basedOn w:val="Normal"/>
    <w:next w:val="Text4"/>
    <w:link w:val="Heading4Char"/>
    <w:uiPriority w:val="9"/>
    <w:qFormat/>
    <w:pPr>
      <w:keepNext/>
      <w:numPr>
        <w:ilvl w:val="3"/>
        <w:numId w:val="4"/>
      </w:numPr>
      <w:outlineLvl w:val="3"/>
    </w:pPr>
  </w:style>
  <w:style w:type="paragraph" w:styleId="Heading5">
    <w:name w:val="heading 5"/>
    <w:basedOn w:val="Normal"/>
    <w:next w:val="Normal"/>
    <w:link w:val="Heading5Char"/>
    <w:uiPriority w:val="9"/>
    <w:semiHidden/>
    <w:qFormat/>
    <w:pPr>
      <w:keepNext/>
      <w:numPr>
        <w:ilvl w:val="4"/>
        <w:numId w:val="4"/>
      </w:numPr>
      <w:outlineLvl w:val="4"/>
    </w:pPr>
  </w:style>
  <w:style w:type="paragraph" w:styleId="Heading6">
    <w:name w:val="heading 6"/>
    <w:basedOn w:val="Normal"/>
    <w:next w:val="Normal"/>
    <w:link w:val="Heading6Char"/>
    <w:uiPriority w:val="9"/>
    <w:semiHidden/>
    <w:qFormat/>
    <w:pPr>
      <w:keepNext/>
      <w:numPr>
        <w:ilvl w:val="5"/>
        <w:numId w:val="4"/>
      </w:numPr>
      <w:outlineLvl w:val="5"/>
    </w:pPr>
  </w:style>
  <w:style w:type="paragraph" w:styleId="Heading7">
    <w:name w:val="heading 7"/>
    <w:basedOn w:val="Normal"/>
    <w:next w:val="Normal"/>
    <w:link w:val="Heading7Char"/>
    <w:uiPriority w:val="9"/>
    <w:semiHidden/>
    <w:qFormat/>
    <w:pPr>
      <w:keepNext/>
      <w:numPr>
        <w:ilvl w:val="6"/>
        <w:numId w:val="4"/>
      </w:numPr>
      <w:outlineLvl w:val="6"/>
    </w:pPr>
  </w:style>
  <w:style w:type="paragraph" w:styleId="Heading8">
    <w:name w:val="heading 8"/>
    <w:basedOn w:val="Normal"/>
    <w:next w:val="Normal"/>
    <w:link w:val="Heading8Char"/>
    <w:uiPriority w:val="9"/>
    <w:semiHidden/>
    <w:qFormat/>
    <w:pPr>
      <w:keepNext/>
      <w:numPr>
        <w:ilvl w:val="7"/>
        <w:numId w:val="4"/>
      </w:numPr>
      <w:outlineLvl w:val="7"/>
    </w:pPr>
  </w:style>
  <w:style w:type="paragraph" w:styleId="Heading9">
    <w:name w:val="heading 9"/>
    <w:basedOn w:val="Normal"/>
    <w:next w:val="Normal"/>
    <w:link w:val="Heading9Char"/>
    <w:uiPriority w:val="9"/>
    <w:semiHidden/>
    <w:qFormat/>
    <w:pPr>
      <w:keepNext/>
      <w:numPr>
        <w:ilvl w:val="8"/>
        <w:numId w:val="4"/>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rossReference">
    <w:name w:val="Cross Reference"/>
    <w:basedOn w:val="DefaultParagraphFont"/>
    <w:uiPriority w:val="2"/>
    <w:rPr>
      <w:i/>
    </w:rPr>
  </w:style>
  <w:style w:type="character" w:customStyle="1" w:styleId="MarkingText">
    <w:name w:val="MarkingText"/>
    <w:semiHidden/>
    <w:rPr>
      <w:i/>
      <w:sz w:val="28"/>
    </w:rPr>
  </w:style>
  <w:style w:type="character" w:customStyle="1" w:styleId="MarkingLabel">
    <w:name w:val="MarkingLabel"/>
    <w:semiHidden/>
    <w:rPr>
      <w:b/>
      <w:caps/>
      <w:sz w:val="28"/>
    </w:rPr>
  </w:style>
  <w:style w:type="character" w:customStyle="1" w:styleId="InstructionPlaceholder">
    <w:name w:val="InstructionPlaceholder"/>
    <w:uiPriority w:val="1"/>
    <w:rPr>
      <w:color w:val="CB3535"/>
    </w:rPr>
  </w:style>
  <w:style w:type="character" w:customStyle="1" w:styleId="InstructionBlue">
    <w:name w:val="InstructionBlue"/>
    <w:uiPriority w:val="1"/>
    <w:rPr>
      <w:i/>
      <w:color w:val="3366CC"/>
    </w:rPr>
  </w:style>
  <w:style w:type="character" w:customStyle="1" w:styleId="InstructionRed">
    <w:name w:val="InstructionRed"/>
    <w:uiPriority w:val="1"/>
    <w:rPr>
      <w:i/>
      <w:color w:val="CB3535"/>
    </w:rPr>
  </w:style>
  <w:style w:type="character" w:customStyle="1" w:styleId="BodyPlaceholderText">
    <w:name w:val="BodyPlaceholderText"/>
    <w:basedOn w:val="PlaceholderText"/>
    <w:semiHidden/>
    <w:rPr>
      <w:color w:val="3366CC"/>
    </w:rPr>
  </w:style>
  <w:style w:type="character" w:styleId="PlaceholderText">
    <w:name w:val="Placeholder Text"/>
    <w:basedOn w:val="DefaultParagraphFont"/>
    <w:semiHidden/>
    <w:rPr>
      <w:color w:val="288061"/>
    </w:rPr>
  </w:style>
  <w:style w:type="paragraph" w:customStyle="1" w:styleId="Copies">
    <w:name w:val="Copies"/>
    <w:basedOn w:val="Normal"/>
    <w:uiPriority w:val="2"/>
    <w:pPr>
      <w:tabs>
        <w:tab w:val="left" w:pos="5669"/>
      </w:tabs>
      <w:spacing w:before="480" w:after="0"/>
      <w:ind w:left="1984" w:hanging="1984"/>
      <w:contextualSpacing/>
      <w:jc w:val="left"/>
    </w:pPr>
  </w:style>
  <w:style w:type="paragraph" w:customStyle="1" w:styleId="Participants">
    <w:name w:val="Participants"/>
    <w:basedOn w:val="Normal"/>
    <w:uiPriority w:val="2"/>
    <w:pPr>
      <w:tabs>
        <w:tab w:val="left" w:pos="2551"/>
        <w:tab w:val="left" w:pos="2835"/>
        <w:tab w:val="left" w:pos="5669"/>
        <w:tab w:val="left" w:pos="6378"/>
        <w:tab w:val="left" w:pos="6803"/>
      </w:tabs>
      <w:spacing w:before="480" w:after="0"/>
      <w:ind w:left="1984" w:hanging="1984"/>
      <w:contextualSpacing/>
      <w:jc w:val="left"/>
    </w:pPr>
  </w:style>
  <w:style w:type="paragraph" w:customStyle="1" w:styleId="Enclosures">
    <w:name w:val="Enclosures"/>
    <w:basedOn w:val="Normal"/>
    <w:uiPriority w:val="2"/>
    <w:pPr>
      <w:keepNext/>
      <w:keepLines/>
      <w:tabs>
        <w:tab w:val="left" w:pos="5669"/>
      </w:tabs>
      <w:spacing w:before="480" w:after="0"/>
      <w:ind w:left="1984" w:hanging="1984"/>
      <w:contextualSpacing/>
      <w:jc w:val="left"/>
    </w:pPr>
  </w:style>
  <w:style w:type="paragraph" w:customStyle="1" w:styleId="DoubSign">
    <w:name w:val="DoubSign"/>
    <w:basedOn w:val="Normal"/>
    <w:next w:val="Contact"/>
    <w:uiPriority w:val="2"/>
    <w:pPr>
      <w:tabs>
        <w:tab w:val="left" w:pos="5102"/>
      </w:tabs>
      <w:spacing w:before="1200" w:after="0"/>
      <w:jc w:val="left"/>
    </w:pPr>
  </w:style>
  <w:style w:type="paragraph" w:customStyle="1" w:styleId="SignatureL">
    <w:name w:val="SignatureL"/>
    <w:basedOn w:val="Normal"/>
    <w:next w:val="Contact"/>
    <w:uiPriority w:val="2"/>
    <w:pPr>
      <w:tabs>
        <w:tab w:val="left" w:pos="5102"/>
      </w:tabs>
      <w:spacing w:before="1200" w:after="0"/>
      <w:jc w:val="left"/>
    </w:pPr>
  </w:style>
  <w:style w:type="paragraph" w:styleId="Signature">
    <w:name w:val="Signature"/>
    <w:basedOn w:val="Normal"/>
    <w:next w:val="Contact"/>
    <w:uiPriority w:val="2"/>
    <w:pPr>
      <w:tabs>
        <w:tab w:val="left" w:pos="5102"/>
      </w:tabs>
      <w:spacing w:before="1200" w:after="0"/>
      <w:ind w:left="5102"/>
      <w:jc w:val="center"/>
    </w:pPr>
  </w:style>
  <w:style w:type="paragraph" w:customStyle="1" w:styleId="ClosingL">
    <w:name w:val="ClosingL"/>
    <w:basedOn w:val="Normal"/>
    <w:next w:val="Signature"/>
    <w:uiPriority w:val="2"/>
    <w:pPr>
      <w:spacing w:before="240"/>
      <w:jc w:val="left"/>
    </w:pPr>
  </w:style>
  <w:style w:type="paragraph" w:styleId="Closing">
    <w:name w:val="Closing"/>
    <w:basedOn w:val="Normal"/>
    <w:next w:val="Signature"/>
    <w:uiPriority w:val="2"/>
    <w:pPr>
      <w:tabs>
        <w:tab w:val="left" w:pos="5102"/>
      </w:tabs>
      <w:spacing w:before="240"/>
      <w:ind w:left="5102"/>
      <w:jc w:val="left"/>
    </w:pPr>
  </w:style>
  <w:style w:type="paragraph" w:customStyle="1" w:styleId="YReferences">
    <w:name w:val="YReferences"/>
    <w:basedOn w:val="Normal"/>
    <w:uiPriority w:val="2"/>
    <w:pPr>
      <w:spacing w:after="480"/>
      <w:ind w:left="1531" w:hanging="1531"/>
      <w:contextualSpacing/>
    </w:pPr>
  </w:style>
  <w:style w:type="paragraph" w:customStyle="1" w:styleId="Subject">
    <w:name w:val="Subject"/>
    <w:basedOn w:val="Normal"/>
    <w:uiPriority w:val="2"/>
    <w:pPr>
      <w:spacing w:after="480"/>
      <w:ind w:left="1531" w:hanging="1531"/>
      <w:contextualSpacing/>
      <w:jc w:val="left"/>
    </w:pPr>
    <w:rPr>
      <w:b/>
    </w:rPr>
  </w:style>
  <w:style w:type="paragraph" w:customStyle="1" w:styleId="NoteColumn">
    <w:name w:val="NoteColumn"/>
    <w:basedOn w:val="Normal"/>
    <w:uiPriority w:val="2"/>
    <w:pPr>
      <w:tabs>
        <w:tab w:val="left" w:pos="850"/>
        <w:tab w:val="left" w:pos="1570"/>
        <w:tab w:val="left" w:pos="5102"/>
        <w:tab w:val="left" w:pos="5822"/>
      </w:tabs>
      <w:spacing w:after="720"/>
      <w:ind w:left="850"/>
      <w:jc w:val="left"/>
    </w:pPr>
    <w:rPr>
      <w:b/>
      <w:smallCaps/>
    </w:rPr>
  </w:style>
  <w:style w:type="paragraph" w:customStyle="1" w:styleId="NoteList">
    <w:name w:val="NoteList"/>
    <w:basedOn w:val="Normal"/>
    <w:uiPriority w:val="2"/>
    <w:pPr>
      <w:tabs>
        <w:tab w:val="left" w:pos="5822"/>
      </w:tabs>
      <w:spacing w:before="720" w:after="720"/>
      <w:ind w:left="5102" w:hanging="3118"/>
      <w:contextualSpacing/>
      <w:jc w:val="left"/>
    </w:pPr>
    <w:rPr>
      <w:b/>
      <w:smallCaps/>
    </w:rPr>
  </w:style>
  <w:style w:type="paragraph" w:customStyle="1" w:styleId="NoteAddressee">
    <w:name w:val="NoteAddressee"/>
    <w:basedOn w:val="Normal"/>
    <w:uiPriority w:val="2"/>
    <w:pPr>
      <w:spacing w:after="720"/>
      <w:contextualSpacing/>
      <w:jc w:val="center"/>
    </w:pPr>
    <w:rPr>
      <w:b/>
      <w:smallCaps/>
    </w:rPr>
  </w:style>
  <w:style w:type="paragraph" w:customStyle="1" w:styleId="NoteTitle">
    <w:name w:val="NoteTitle"/>
    <w:basedOn w:val="Normal"/>
    <w:uiPriority w:val="2"/>
    <w:pPr>
      <w:spacing w:before="720" w:after="360"/>
      <w:contextualSpacing/>
      <w:jc w:val="center"/>
    </w:pPr>
    <w:rPr>
      <w:b/>
      <w:smallCaps/>
    </w:rPr>
  </w:style>
  <w:style w:type="paragraph" w:customStyle="1" w:styleId="NoteHead">
    <w:name w:val="NoteHead"/>
    <w:basedOn w:val="Normal"/>
    <w:uiPriority w:val="2"/>
    <w:pPr>
      <w:spacing w:before="720" w:after="720"/>
      <w:contextualSpacing/>
      <w:jc w:val="center"/>
    </w:pPr>
    <w:rPr>
      <w:b/>
      <w:smallCaps/>
    </w:rPr>
  </w:style>
  <w:style w:type="paragraph" w:customStyle="1" w:styleId="ContNumLevel3">
    <w:name w:val="ContNum (Level 3)"/>
    <w:basedOn w:val="Normal"/>
    <w:uiPriority w:val="1"/>
    <w:pPr>
      <w:numPr>
        <w:ilvl w:val="2"/>
        <w:numId w:val="2"/>
      </w:numPr>
    </w:pPr>
  </w:style>
  <w:style w:type="paragraph" w:customStyle="1" w:styleId="ContNumLevel2">
    <w:name w:val="ContNum (Level 2)"/>
    <w:basedOn w:val="Normal"/>
    <w:uiPriority w:val="1"/>
    <w:pPr>
      <w:numPr>
        <w:ilvl w:val="1"/>
        <w:numId w:val="2"/>
      </w:numPr>
    </w:pPr>
  </w:style>
  <w:style w:type="paragraph" w:customStyle="1" w:styleId="ContNum">
    <w:name w:val="ContNum"/>
    <w:basedOn w:val="Normal"/>
    <w:uiPriority w:val="1"/>
    <w:qFormat/>
    <w:pPr>
      <w:numPr>
        <w:numId w:val="2"/>
      </w:numPr>
    </w:pPr>
  </w:style>
  <w:style w:type="paragraph" w:customStyle="1" w:styleId="LegalNumPar3">
    <w:name w:val="LegalNumPar3"/>
    <w:basedOn w:val="Normal"/>
    <w:uiPriority w:val="1"/>
    <w:pPr>
      <w:numPr>
        <w:ilvl w:val="2"/>
        <w:numId w:val="3"/>
      </w:numPr>
      <w:spacing w:line="360" w:lineRule="auto"/>
    </w:pPr>
  </w:style>
  <w:style w:type="paragraph" w:customStyle="1" w:styleId="LegalNumPar2">
    <w:name w:val="LegalNumPar2"/>
    <w:basedOn w:val="Normal"/>
    <w:uiPriority w:val="1"/>
    <w:pPr>
      <w:numPr>
        <w:ilvl w:val="1"/>
        <w:numId w:val="3"/>
      </w:numPr>
      <w:spacing w:line="360" w:lineRule="auto"/>
    </w:pPr>
  </w:style>
  <w:style w:type="paragraph" w:customStyle="1" w:styleId="LegalNumPar">
    <w:name w:val="LegalNumPar"/>
    <w:basedOn w:val="Normal"/>
    <w:uiPriority w:val="1"/>
    <w:qFormat/>
    <w:pPr>
      <w:numPr>
        <w:numId w:val="3"/>
      </w:numPr>
      <w:spacing w:line="360" w:lineRule="auto"/>
    </w:pPr>
  </w:style>
  <w:style w:type="paragraph" w:customStyle="1" w:styleId="Marking">
    <w:name w:val="Marking"/>
    <w:basedOn w:val="Normal"/>
    <w:semiHidden/>
    <w:pPr>
      <w:ind w:left="5102" w:right="-567"/>
      <w:contextualSpacing/>
      <w:jc w:val="left"/>
    </w:pPr>
    <w:rPr>
      <w:sz w:val="28"/>
    </w:rPr>
  </w:style>
  <w:style w:type="paragraph" w:customStyle="1" w:styleId="ListNumber4Level4">
    <w:name w:val="List Number 4 (Level 4)"/>
    <w:basedOn w:val="Text4"/>
    <w:uiPriority w:val="1"/>
    <w:semiHidden/>
    <w:unhideWhenUsed/>
    <w:pPr>
      <w:numPr>
        <w:ilvl w:val="3"/>
        <w:numId w:val="14"/>
      </w:numPr>
    </w:pPr>
  </w:style>
  <w:style w:type="paragraph" w:customStyle="1" w:styleId="ListNumber4Level3">
    <w:name w:val="List Number 4 (Level 3)"/>
    <w:basedOn w:val="Text4"/>
    <w:uiPriority w:val="1"/>
    <w:semiHidden/>
    <w:unhideWhenUsed/>
    <w:pPr>
      <w:numPr>
        <w:ilvl w:val="2"/>
        <w:numId w:val="14"/>
      </w:numPr>
    </w:pPr>
  </w:style>
  <w:style w:type="paragraph" w:customStyle="1" w:styleId="ListNumber4Level2">
    <w:name w:val="List Number 4 (Level 2)"/>
    <w:basedOn w:val="Text4"/>
    <w:uiPriority w:val="1"/>
    <w:pPr>
      <w:numPr>
        <w:ilvl w:val="1"/>
        <w:numId w:val="14"/>
      </w:numPr>
    </w:pPr>
  </w:style>
  <w:style w:type="paragraph" w:styleId="ListNumber4">
    <w:name w:val="List Number 4"/>
    <w:basedOn w:val="Text4"/>
    <w:uiPriority w:val="1"/>
    <w:pPr>
      <w:numPr>
        <w:numId w:val="14"/>
      </w:numPr>
    </w:pPr>
  </w:style>
  <w:style w:type="paragraph" w:customStyle="1" w:styleId="ListNumber3Level4">
    <w:name w:val="List Number 3 (Level 4)"/>
    <w:basedOn w:val="Text3"/>
    <w:uiPriority w:val="1"/>
    <w:semiHidden/>
    <w:unhideWhenUsed/>
    <w:pPr>
      <w:numPr>
        <w:ilvl w:val="3"/>
        <w:numId w:val="13"/>
      </w:numPr>
    </w:pPr>
  </w:style>
  <w:style w:type="paragraph" w:customStyle="1" w:styleId="ListNumber3Level3">
    <w:name w:val="List Number 3 (Level 3)"/>
    <w:basedOn w:val="Text3"/>
    <w:uiPriority w:val="1"/>
    <w:semiHidden/>
    <w:unhideWhenUsed/>
    <w:pPr>
      <w:numPr>
        <w:ilvl w:val="2"/>
        <w:numId w:val="13"/>
      </w:numPr>
    </w:pPr>
  </w:style>
  <w:style w:type="paragraph" w:customStyle="1" w:styleId="ListNumber3Level2">
    <w:name w:val="List Number 3 (Level 2)"/>
    <w:basedOn w:val="Text3"/>
    <w:uiPriority w:val="1"/>
    <w:pPr>
      <w:numPr>
        <w:ilvl w:val="1"/>
        <w:numId w:val="13"/>
      </w:numPr>
    </w:pPr>
  </w:style>
  <w:style w:type="paragraph" w:styleId="ListNumber3">
    <w:name w:val="List Number 3"/>
    <w:basedOn w:val="Text3"/>
    <w:uiPriority w:val="1"/>
    <w:pPr>
      <w:numPr>
        <w:numId w:val="13"/>
      </w:numPr>
    </w:pPr>
  </w:style>
  <w:style w:type="paragraph" w:customStyle="1" w:styleId="ListNumber2Level4">
    <w:name w:val="List Number 2 (Level 4)"/>
    <w:basedOn w:val="Text2"/>
    <w:uiPriority w:val="1"/>
    <w:semiHidden/>
    <w:unhideWhenUsed/>
    <w:pPr>
      <w:numPr>
        <w:ilvl w:val="3"/>
        <w:numId w:val="12"/>
      </w:numPr>
    </w:pPr>
  </w:style>
  <w:style w:type="paragraph" w:customStyle="1" w:styleId="ListNumber2Level3">
    <w:name w:val="List Number 2 (Level 3)"/>
    <w:basedOn w:val="Text2"/>
    <w:uiPriority w:val="1"/>
    <w:semiHidden/>
    <w:unhideWhenUsed/>
    <w:pPr>
      <w:numPr>
        <w:ilvl w:val="2"/>
        <w:numId w:val="12"/>
      </w:numPr>
    </w:pPr>
  </w:style>
  <w:style w:type="paragraph" w:customStyle="1" w:styleId="ListNumber2Level2">
    <w:name w:val="List Number 2 (Level 2)"/>
    <w:basedOn w:val="Text2"/>
    <w:uiPriority w:val="1"/>
    <w:pPr>
      <w:numPr>
        <w:ilvl w:val="1"/>
        <w:numId w:val="12"/>
      </w:numPr>
    </w:pPr>
  </w:style>
  <w:style w:type="paragraph" w:styleId="ListNumber2">
    <w:name w:val="List Number 2"/>
    <w:basedOn w:val="Text2"/>
    <w:uiPriority w:val="1"/>
    <w:pPr>
      <w:numPr>
        <w:numId w:val="12"/>
      </w:numPr>
    </w:pPr>
  </w:style>
  <w:style w:type="paragraph" w:customStyle="1" w:styleId="ListNumber1Level4">
    <w:name w:val="List Number 1 (Level 4)"/>
    <w:basedOn w:val="Text1"/>
    <w:uiPriority w:val="1"/>
    <w:semiHidden/>
    <w:unhideWhenUsed/>
    <w:pPr>
      <w:numPr>
        <w:ilvl w:val="3"/>
        <w:numId w:val="11"/>
      </w:numPr>
    </w:pPr>
  </w:style>
  <w:style w:type="paragraph" w:customStyle="1" w:styleId="ListNumber1Level3">
    <w:name w:val="List Number 1 (Level 3)"/>
    <w:basedOn w:val="Text1"/>
    <w:uiPriority w:val="1"/>
    <w:semiHidden/>
    <w:unhideWhenUsed/>
    <w:pPr>
      <w:numPr>
        <w:ilvl w:val="2"/>
        <w:numId w:val="11"/>
      </w:numPr>
    </w:pPr>
  </w:style>
  <w:style w:type="paragraph" w:customStyle="1" w:styleId="ListNumber1Level2">
    <w:name w:val="List Number 1 (Level 2)"/>
    <w:basedOn w:val="Text1"/>
    <w:uiPriority w:val="1"/>
    <w:pPr>
      <w:numPr>
        <w:ilvl w:val="1"/>
        <w:numId w:val="11"/>
      </w:numPr>
    </w:pPr>
  </w:style>
  <w:style w:type="paragraph" w:customStyle="1" w:styleId="ListNumber1">
    <w:name w:val="List Number 1"/>
    <w:basedOn w:val="Text1"/>
    <w:uiPriority w:val="1"/>
    <w:pPr>
      <w:numPr>
        <w:numId w:val="11"/>
      </w:numPr>
    </w:pPr>
  </w:style>
  <w:style w:type="paragraph" w:customStyle="1" w:styleId="ListNumberLevel4">
    <w:name w:val="List Number (Level 4)"/>
    <w:basedOn w:val="Normal"/>
    <w:uiPriority w:val="1"/>
    <w:semiHidden/>
    <w:unhideWhenUsed/>
    <w:pPr>
      <w:numPr>
        <w:ilvl w:val="3"/>
        <w:numId w:val="10"/>
      </w:numPr>
    </w:pPr>
  </w:style>
  <w:style w:type="paragraph" w:customStyle="1" w:styleId="ListNumberLevel3">
    <w:name w:val="List Number (Level 3)"/>
    <w:basedOn w:val="Normal"/>
    <w:uiPriority w:val="1"/>
    <w:semiHidden/>
    <w:unhideWhenUsed/>
    <w:pPr>
      <w:numPr>
        <w:ilvl w:val="2"/>
        <w:numId w:val="10"/>
      </w:numPr>
    </w:pPr>
  </w:style>
  <w:style w:type="paragraph" w:customStyle="1" w:styleId="ListNumberLevel2">
    <w:name w:val="List Number (Level 2)"/>
    <w:basedOn w:val="Normal"/>
    <w:uiPriority w:val="1"/>
    <w:pPr>
      <w:numPr>
        <w:ilvl w:val="1"/>
        <w:numId w:val="10"/>
      </w:numPr>
    </w:pPr>
  </w:style>
  <w:style w:type="paragraph" w:styleId="ListNumber">
    <w:name w:val="List Number"/>
    <w:basedOn w:val="Normal"/>
    <w:uiPriority w:val="1"/>
    <w:pPr>
      <w:numPr>
        <w:numId w:val="10"/>
      </w:numPr>
    </w:pPr>
  </w:style>
  <w:style w:type="paragraph" w:customStyle="1" w:styleId="ListDash4Level4">
    <w:name w:val="List Dash 4 (Level 4)"/>
    <w:basedOn w:val="Text4"/>
    <w:uiPriority w:val="1"/>
    <w:semiHidden/>
    <w:unhideWhenUsed/>
    <w:pPr>
      <w:numPr>
        <w:ilvl w:val="3"/>
        <w:numId w:val="19"/>
      </w:numPr>
    </w:pPr>
  </w:style>
  <w:style w:type="paragraph" w:customStyle="1" w:styleId="ListDash4Level3">
    <w:name w:val="List Dash 4 (Level 3)"/>
    <w:basedOn w:val="Text4"/>
    <w:uiPriority w:val="1"/>
    <w:semiHidden/>
    <w:unhideWhenUsed/>
    <w:pPr>
      <w:numPr>
        <w:ilvl w:val="2"/>
        <w:numId w:val="19"/>
      </w:numPr>
    </w:pPr>
  </w:style>
  <w:style w:type="paragraph" w:customStyle="1" w:styleId="ListDash4Level2">
    <w:name w:val="List Dash 4 (Level 2)"/>
    <w:basedOn w:val="Text4"/>
    <w:uiPriority w:val="1"/>
    <w:pPr>
      <w:numPr>
        <w:ilvl w:val="1"/>
        <w:numId w:val="19"/>
      </w:numPr>
    </w:pPr>
  </w:style>
  <w:style w:type="paragraph" w:customStyle="1" w:styleId="ListDash4">
    <w:name w:val="List Dash 4"/>
    <w:basedOn w:val="Text4"/>
    <w:uiPriority w:val="1"/>
    <w:pPr>
      <w:numPr>
        <w:numId w:val="19"/>
      </w:numPr>
    </w:pPr>
  </w:style>
  <w:style w:type="paragraph" w:customStyle="1" w:styleId="ListDash3Level4">
    <w:name w:val="List Dash 3 (Level 4)"/>
    <w:basedOn w:val="Text3"/>
    <w:uiPriority w:val="1"/>
    <w:semiHidden/>
    <w:unhideWhenUsed/>
    <w:pPr>
      <w:numPr>
        <w:ilvl w:val="3"/>
        <w:numId w:val="18"/>
      </w:numPr>
    </w:pPr>
  </w:style>
  <w:style w:type="paragraph" w:customStyle="1" w:styleId="ListDash3Level3">
    <w:name w:val="List Dash 3 (Level 3)"/>
    <w:basedOn w:val="Text3"/>
    <w:uiPriority w:val="1"/>
    <w:semiHidden/>
    <w:unhideWhenUsed/>
    <w:pPr>
      <w:numPr>
        <w:ilvl w:val="2"/>
        <w:numId w:val="18"/>
      </w:numPr>
    </w:pPr>
  </w:style>
  <w:style w:type="paragraph" w:customStyle="1" w:styleId="ListDash3Level2">
    <w:name w:val="List Dash 3 (Level 2)"/>
    <w:basedOn w:val="Text3"/>
    <w:uiPriority w:val="1"/>
    <w:pPr>
      <w:numPr>
        <w:ilvl w:val="1"/>
        <w:numId w:val="18"/>
      </w:numPr>
    </w:pPr>
  </w:style>
  <w:style w:type="paragraph" w:customStyle="1" w:styleId="ListDash3">
    <w:name w:val="List Dash 3"/>
    <w:basedOn w:val="Text3"/>
    <w:uiPriority w:val="1"/>
    <w:pPr>
      <w:numPr>
        <w:numId w:val="18"/>
      </w:numPr>
    </w:pPr>
  </w:style>
  <w:style w:type="paragraph" w:customStyle="1" w:styleId="ListDash2Level4">
    <w:name w:val="List Dash 2 (Level 4)"/>
    <w:basedOn w:val="Text2"/>
    <w:uiPriority w:val="1"/>
    <w:semiHidden/>
    <w:unhideWhenUsed/>
    <w:pPr>
      <w:numPr>
        <w:ilvl w:val="3"/>
        <w:numId w:val="17"/>
      </w:numPr>
    </w:pPr>
  </w:style>
  <w:style w:type="paragraph" w:customStyle="1" w:styleId="ListDash2Level3">
    <w:name w:val="List Dash 2 (Level 3)"/>
    <w:basedOn w:val="Text2"/>
    <w:uiPriority w:val="1"/>
    <w:semiHidden/>
    <w:unhideWhenUsed/>
    <w:pPr>
      <w:numPr>
        <w:ilvl w:val="2"/>
        <w:numId w:val="17"/>
      </w:numPr>
    </w:pPr>
  </w:style>
  <w:style w:type="paragraph" w:customStyle="1" w:styleId="ListDash2Level2">
    <w:name w:val="List Dash 2 (Level 2)"/>
    <w:basedOn w:val="Text2"/>
    <w:uiPriority w:val="1"/>
    <w:pPr>
      <w:numPr>
        <w:ilvl w:val="1"/>
        <w:numId w:val="17"/>
      </w:numPr>
    </w:pPr>
  </w:style>
  <w:style w:type="paragraph" w:customStyle="1" w:styleId="ListDash2">
    <w:name w:val="List Dash 2"/>
    <w:basedOn w:val="Text2"/>
    <w:uiPriority w:val="1"/>
    <w:pPr>
      <w:numPr>
        <w:numId w:val="17"/>
      </w:numPr>
    </w:pPr>
  </w:style>
  <w:style w:type="paragraph" w:customStyle="1" w:styleId="ListDash1Level4">
    <w:name w:val="List Dash 1 (Level 4)"/>
    <w:basedOn w:val="Text1"/>
    <w:uiPriority w:val="1"/>
    <w:semiHidden/>
    <w:unhideWhenUsed/>
    <w:pPr>
      <w:numPr>
        <w:ilvl w:val="3"/>
        <w:numId w:val="16"/>
      </w:numPr>
    </w:pPr>
  </w:style>
  <w:style w:type="paragraph" w:customStyle="1" w:styleId="ListDash1Level3">
    <w:name w:val="List Dash 1 (Level 3)"/>
    <w:basedOn w:val="Text1"/>
    <w:uiPriority w:val="1"/>
    <w:semiHidden/>
    <w:unhideWhenUsed/>
    <w:pPr>
      <w:numPr>
        <w:ilvl w:val="2"/>
        <w:numId w:val="16"/>
      </w:numPr>
    </w:pPr>
  </w:style>
  <w:style w:type="paragraph" w:customStyle="1" w:styleId="ListDash1Level2">
    <w:name w:val="List Dash 1 (Level 2)"/>
    <w:basedOn w:val="Text1"/>
    <w:uiPriority w:val="1"/>
    <w:pPr>
      <w:numPr>
        <w:ilvl w:val="1"/>
        <w:numId w:val="16"/>
      </w:numPr>
    </w:pPr>
  </w:style>
  <w:style w:type="paragraph" w:customStyle="1" w:styleId="ListDash1">
    <w:name w:val="List Dash 1"/>
    <w:basedOn w:val="Text1"/>
    <w:uiPriority w:val="1"/>
    <w:pPr>
      <w:numPr>
        <w:numId w:val="16"/>
      </w:numPr>
    </w:pPr>
  </w:style>
  <w:style w:type="paragraph" w:customStyle="1" w:styleId="ListDashLevel4">
    <w:name w:val="List Dash (Level 4)"/>
    <w:basedOn w:val="Normal"/>
    <w:uiPriority w:val="1"/>
    <w:semiHidden/>
    <w:unhideWhenUsed/>
    <w:pPr>
      <w:numPr>
        <w:ilvl w:val="3"/>
        <w:numId w:val="15"/>
      </w:numPr>
    </w:pPr>
  </w:style>
  <w:style w:type="paragraph" w:customStyle="1" w:styleId="ListDashLevel3">
    <w:name w:val="List Dash (Level 3)"/>
    <w:basedOn w:val="Normal"/>
    <w:uiPriority w:val="1"/>
    <w:semiHidden/>
    <w:unhideWhenUsed/>
    <w:pPr>
      <w:numPr>
        <w:ilvl w:val="2"/>
        <w:numId w:val="15"/>
      </w:numPr>
    </w:pPr>
  </w:style>
  <w:style w:type="paragraph" w:customStyle="1" w:styleId="ListDashLevel2">
    <w:name w:val="List Dash (Level 2)"/>
    <w:basedOn w:val="Normal"/>
    <w:uiPriority w:val="1"/>
    <w:pPr>
      <w:numPr>
        <w:ilvl w:val="1"/>
        <w:numId w:val="15"/>
      </w:numPr>
    </w:pPr>
  </w:style>
  <w:style w:type="paragraph" w:customStyle="1" w:styleId="ListDash">
    <w:name w:val="List Dash"/>
    <w:basedOn w:val="Normal"/>
    <w:uiPriority w:val="1"/>
    <w:pPr>
      <w:numPr>
        <w:numId w:val="15"/>
      </w:numPr>
    </w:pPr>
  </w:style>
  <w:style w:type="paragraph" w:customStyle="1" w:styleId="ListBullet4Level4">
    <w:name w:val="List Bullet 4 (Level 4)"/>
    <w:basedOn w:val="Text4"/>
    <w:uiPriority w:val="1"/>
    <w:semiHidden/>
    <w:unhideWhenUsed/>
    <w:pPr>
      <w:numPr>
        <w:ilvl w:val="3"/>
        <w:numId w:val="9"/>
      </w:numPr>
    </w:pPr>
  </w:style>
  <w:style w:type="paragraph" w:customStyle="1" w:styleId="ListBullet4Level3">
    <w:name w:val="List Bullet 4 (Level 3)"/>
    <w:basedOn w:val="Text4"/>
    <w:uiPriority w:val="1"/>
    <w:semiHidden/>
    <w:unhideWhenUsed/>
    <w:pPr>
      <w:numPr>
        <w:ilvl w:val="2"/>
        <w:numId w:val="9"/>
      </w:numPr>
    </w:pPr>
  </w:style>
  <w:style w:type="paragraph" w:customStyle="1" w:styleId="ListBullet4Level2">
    <w:name w:val="List Bullet 4 (Level 2)"/>
    <w:basedOn w:val="Text4"/>
    <w:uiPriority w:val="1"/>
    <w:pPr>
      <w:numPr>
        <w:ilvl w:val="1"/>
        <w:numId w:val="9"/>
      </w:numPr>
    </w:pPr>
  </w:style>
  <w:style w:type="paragraph" w:styleId="ListBullet4">
    <w:name w:val="List Bullet 4"/>
    <w:basedOn w:val="Text4"/>
    <w:uiPriority w:val="1"/>
    <w:pPr>
      <w:numPr>
        <w:numId w:val="9"/>
      </w:numPr>
    </w:pPr>
  </w:style>
  <w:style w:type="paragraph" w:customStyle="1" w:styleId="ListBullet3Level4">
    <w:name w:val="List Bullet 3 (Level 4)"/>
    <w:basedOn w:val="Text3"/>
    <w:uiPriority w:val="1"/>
    <w:semiHidden/>
    <w:unhideWhenUsed/>
    <w:pPr>
      <w:numPr>
        <w:ilvl w:val="3"/>
        <w:numId w:val="8"/>
      </w:numPr>
    </w:pPr>
  </w:style>
  <w:style w:type="paragraph" w:customStyle="1" w:styleId="ListBullet3Level3">
    <w:name w:val="List Bullet 3 (Level 3)"/>
    <w:basedOn w:val="Text3"/>
    <w:uiPriority w:val="1"/>
    <w:semiHidden/>
    <w:unhideWhenUsed/>
    <w:pPr>
      <w:numPr>
        <w:ilvl w:val="2"/>
        <w:numId w:val="8"/>
      </w:numPr>
    </w:pPr>
  </w:style>
  <w:style w:type="paragraph" w:customStyle="1" w:styleId="ListBullet3Level2">
    <w:name w:val="List Bullet 3 (Level 2)"/>
    <w:basedOn w:val="Text3"/>
    <w:uiPriority w:val="1"/>
    <w:pPr>
      <w:numPr>
        <w:ilvl w:val="1"/>
        <w:numId w:val="8"/>
      </w:numPr>
    </w:pPr>
  </w:style>
  <w:style w:type="paragraph" w:styleId="ListBullet3">
    <w:name w:val="List Bullet 3"/>
    <w:basedOn w:val="Text3"/>
    <w:uiPriority w:val="1"/>
    <w:pPr>
      <w:numPr>
        <w:numId w:val="8"/>
      </w:numPr>
    </w:pPr>
  </w:style>
  <w:style w:type="paragraph" w:customStyle="1" w:styleId="ListBullet2Level4">
    <w:name w:val="List Bullet 2 (Level 4)"/>
    <w:basedOn w:val="Text2"/>
    <w:uiPriority w:val="1"/>
    <w:semiHidden/>
    <w:unhideWhenUsed/>
    <w:pPr>
      <w:numPr>
        <w:ilvl w:val="3"/>
        <w:numId w:val="7"/>
      </w:numPr>
    </w:pPr>
  </w:style>
  <w:style w:type="paragraph" w:customStyle="1" w:styleId="ListBullet2Level3">
    <w:name w:val="List Bullet 2 (Level 3)"/>
    <w:basedOn w:val="Text2"/>
    <w:uiPriority w:val="1"/>
    <w:semiHidden/>
    <w:unhideWhenUsed/>
    <w:pPr>
      <w:numPr>
        <w:ilvl w:val="2"/>
        <w:numId w:val="7"/>
      </w:numPr>
    </w:pPr>
  </w:style>
  <w:style w:type="paragraph" w:customStyle="1" w:styleId="ListBullet2Level2">
    <w:name w:val="List Bullet 2 (Level 2)"/>
    <w:basedOn w:val="Text2"/>
    <w:uiPriority w:val="1"/>
    <w:pPr>
      <w:numPr>
        <w:ilvl w:val="1"/>
        <w:numId w:val="7"/>
      </w:numPr>
    </w:pPr>
  </w:style>
  <w:style w:type="paragraph" w:styleId="ListBullet2">
    <w:name w:val="List Bullet 2"/>
    <w:basedOn w:val="Text2"/>
    <w:uiPriority w:val="1"/>
    <w:pPr>
      <w:numPr>
        <w:numId w:val="7"/>
      </w:numPr>
    </w:pPr>
  </w:style>
  <w:style w:type="paragraph" w:customStyle="1" w:styleId="ListBullet1Level4">
    <w:name w:val="List Bullet 1 (Level 4)"/>
    <w:basedOn w:val="Text1"/>
    <w:uiPriority w:val="1"/>
    <w:semiHidden/>
    <w:unhideWhenUsed/>
    <w:pPr>
      <w:numPr>
        <w:ilvl w:val="3"/>
        <w:numId w:val="6"/>
      </w:numPr>
    </w:pPr>
  </w:style>
  <w:style w:type="paragraph" w:customStyle="1" w:styleId="ListBullet1Level3">
    <w:name w:val="List Bullet 1 (Level 3)"/>
    <w:basedOn w:val="Text1"/>
    <w:uiPriority w:val="1"/>
    <w:semiHidden/>
    <w:unhideWhenUsed/>
    <w:pPr>
      <w:numPr>
        <w:ilvl w:val="2"/>
        <w:numId w:val="6"/>
      </w:numPr>
    </w:pPr>
  </w:style>
  <w:style w:type="paragraph" w:customStyle="1" w:styleId="ListBullet1Level2">
    <w:name w:val="List Bullet 1 (Level 2)"/>
    <w:basedOn w:val="Text1"/>
    <w:uiPriority w:val="1"/>
    <w:pPr>
      <w:numPr>
        <w:ilvl w:val="1"/>
        <w:numId w:val="6"/>
      </w:numPr>
    </w:pPr>
  </w:style>
  <w:style w:type="paragraph" w:customStyle="1" w:styleId="ListBullet1">
    <w:name w:val="List Bullet 1"/>
    <w:basedOn w:val="Text1"/>
    <w:uiPriority w:val="1"/>
    <w:pPr>
      <w:numPr>
        <w:numId w:val="6"/>
      </w:numPr>
    </w:pPr>
  </w:style>
  <w:style w:type="paragraph" w:customStyle="1" w:styleId="ListBulletLevel4">
    <w:name w:val="List Bullet (Level 4)"/>
    <w:basedOn w:val="Text1"/>
    <w:uiPriority w:val="1"/>
    <w:semiHidden/>
    <w:unhideWhenUsed/>
    <w:pPr>
      <w:numPr>
        <w:ilvl w:val="3"/>
        <w:numId w:val="5"/>
      </w:numPr>
    </w:pPr>
  </w:style>
  <w:style w:type="paragraph" w:customStyle="1" w:styleId="ListBulletLevel3">
    <w:name w:val="List Bullet (Level 3)"/>
    <w:basedOn w:val="Text1"/>
    <w:uiPriority w:val="1"/>
    <w:semiHidden/>
    <w:unhideWhenUsed/>
    <w:pPr>
      <w:numPr>
        <w:ilvl w:val="2"/>
        <w:numId w:val="5"/>
      </w:numPr>
    </w:pPr>
  </w:style>
  <w:style w:type="paragraph" w:customStyle="1" w:styleId="ListBulletLevel2">
    <w:name w:val="List Bullet (Level 2)"/>
    <w:basedOn w:val="Text1"/>
    <w:uiPriority w:val="1"/>
    <w:pPr>
      <w:numPr>
        <w:ilvl w:val="1"/>
        <w:numId w:val="5"/>
      </w:numPr>
    </w:pPr>
  </w:style>
  <w:style w:type="paragraph" w:styleId="ListBullet">
    <w:name w:val="List Bullet"/>
    <w:basedOn w:val="Normal"/>
    <w:uiPriority w:val="1"/>
    <w:pPr>
      <w:numPr>
        <w:numId w:val="5"/>
      </w:numPr>
    </w:pPr>
  </w:style>
  <w:style w:type="paragraph" w:styleId="TOC9">
    <w:name w:val="toc 9"/>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7">
    <w:name w:val="toc 7"/>
    <w:basedOn w:val="Normal"/>
    <w:next w:val="Normal"/>
    <w:semiHidden/>
    <w:pPr>
      <w:tabs>
        <w:tab w:val="right" w:leader="dot" w:pos="8640"/>
      </w:tabs>
    </w:p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5">
    <w:name w:val="toc 5"/>
    <w:basedOn w:val="Normal"/>
    <w:next w:val="Normal"/>
    <w:semiHidden/>
    <w:pPr>
      <w:tabs>
        <w:tab w:val="right" w:leader="dot" w:pos="8640"/>
      </w:tabs>
      <w:spacing w:before="240" w:after="120"/>
      <w:ind w:right="720"/>
    </w:pPr>
    <w:rPr>
      <w:caps/>
    </w:r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AnnexTitle">
    <w:name w:val="AnnexTitle"/>
    <w:basedOn w:val="Normal"/>
    <w:next w:val="Normal"/>
    <w:uiPriority w:val="1"/>
    <w:qFormat/>
    <w:pPr>
      <w:pageBreakBefore/>
      <w:numPr>
        <w:numId w:val="1"/>
      </w:numPr>
      <w:spacing w:after="480"/>
      <w:outlineLvl w:val="0"/>
    </w:pPr>
    <w:rPr>
      <w:b/>
      <w:sz w:val="32"/>
    </w:rPr>
  </w:style>
  <w:style w:type="paragraph" w:styleId="Title">
    <w:name w:val="Title"/>
    <w:basedOn w:val="Normal"/>
    <w:next w:val="Normal"/>
    <w:link w:val="TitleChar"/>
    <w:uiPriority w:val="10"/>
    <w:qFormat/>
    <w:pPr>
      <w:spacing w:after="480"/>
      <w:jc w:val="center"/>
    </w:pPr>
    <w:rPr>
      <w:b/>
      <w:kern w:val="28"/>
      <w:sz w:val="48"/>
    </w:rPr>
  </w:style>
  <w:style w:type="paragraph" w:customStyle="1" w:styleId="NumPar4">
    <w:name w:val="NumPar 4"/>
    <w:basedOn w:val="Heading4"/>
    <w:uiPriority w:val="1"/>
    <w:qFormat/>
    <w:pPr>
      <w:keepNext w:val="0"/>
      <w:outlineLvl w:val="9"/>
    </w:pPr>
  </w:style>
  <w:style w:type="paragraph" w:customStyle="1" w:styleId="NumPar3">
    <w:name w:val="NumPar 3"/>
    <w:basedOn w:val="Heading3"/>
    <w:uiPriority w:val="1"/>
    <w:qFormat/>
    <w:pPr>
      <w:keepNext w:val="0"/>
      <w:outlineLvl w:val="9"/>
    </w:pPr>
    <w:rPr>
      <w:i w:val="0"/>
    </w:rPr>
  </w:style>
  <w:style w:type="paragraph" w:customStyle="1" w:styleId="NumPar2">
    <w:name w:val="NumPar 2"/>
    <w:basedOn w:val="Heading2"/>
    <w:uiPriority w:val="1"/>
    <w:qFormat/>
    <w:pPr>
      <w:keepNext w:val="0"/>
      <w:outlineLvl w:val="9"/>
    </w:pPr>
    <w:rPr>
      <w:b w:val="0"/>
    </w:rPr>
  </w:style>
  <w:style w:type="paragraph" w:customStyle="1" w:styleId="NumPar1">
    <w:name w:val="NumPar 1"/>
    <w:basedOn w:val="Heading1"/>
    <w:uiPriority w:val="1"/>
    <w:qFormat/>
    <w:pPr>
      <w:keepNext w:val="0"/>
      <w:spacing w:before="0"/>
      <w:outlineLvl w:val="9"/>
    </w:pPr>
    <w:rPr>
      <w:b w:val="0"/>
      <w:smallCaps w:val="0"/>
    </w:rPr>
  </w:style>
  <w:style w:type="paragraph" w:styleId="MacroText">
    <w:name w:val="macro"/>
    <w:basedOn w:val="Normal"/>
    <w:uiPriority w:val="1"/>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styleId="FootnoteText">
    <w:name w:val="footnote text"/>
    <w:aliases w:val="Footnote Text Char Char,Footnote text,Footnote Text Char2 Char,Footnote Text Char1 Char1 Char,Footnote Text Char2 Char Char Char,Footnote Text Char1 Char1 Char Char Char,Plonk,fn,fn Char Char,Fußnote,o,Footnote Text Char1 Char,Reference,Ch"/>
    <w:basedOn w:val="Normal"/>
    <w:link w:val="FootnoteTextChar"/>
    <w:uiPriority w:val="99"/>
    <w:unhideWhenUsed/>
    <w:qFormat/>
    <w:rsid w:val="00FE2C2E"/>
    <w:pPr>
      <w:spacing w:after="0"/>
      <w:ind w:left="357" w:hanging="357"/>
    </w:pPr>
    <w:rPr>
      <w:sz w:val="20"/>
    </w:rPr>
  </w:style>
  <w:style w:type="paragraph" w:customStyle="1" w:styleId="FooterLine">
    <w:name w:val="Footer Line"/>
    <w:basedOn w:val="Footer"/>
    <w:next w:val="Footer"/>
    <w:uiPriority w:val="2"/>
    <w:pPr>
      <w:tabs>
        <w:tab w:val="right" w:pos="8646"/>
      </w:tabs>
      <w:spacing w:before="120"/>
      <w:ind w:right="0"/>
    </w:pPr>
  </w:style>
  <w:style w:type="paragraph" w:styleId="Footer">
    <w:name w:val="footer"/>
    <w:basedOn w:val="Normal"/>
    <w:link w:val="FooterChar"/>
    <w:uiPriority w:val="99"/>
    <w:pPr>
      <w:spacing w:after="0"/>
      <w:ind w:right="-567"/>
      <w:jc w:val="left"/>
    </w:pPr>
    <w:rPr>
      <w:sz w:val="16"/>
    </w:rPr>
  </w:style>
  <w:style w:type="paragraph" w:styleId="EndnoteText">
    <w:name w:val="endnote text"/>
    <w:basedOn w:val="Normal"/>
    <w:semiHidden/>
    <w:unhideWhenUsed/>
    <w:rPr>
      <w:sz w:val="20"/>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RUE">
    <w:name w:val="RUE"/>
    <w:basedOn w:val="Normal"/>
    <w:semiHidden/>
    <w:pPr>
      <w:spacing w:after="0"/>
      <w:jc w:val="center"/>
    </w:pPr>
    <w:rPr>
      <w:b/>
      <w:caps/>
      <w:sz w:val="32"/>
      <w:bdr w:val="single" w:sz="18" w:space="0" w:color="auto"/>
    </w:rPr>
  </w:style>
  <w:style w:type="paragraph" w:customStyle="1" w:styleId="Releasable">
    <w:name w:val="Releasable"/>
    <w:basedOn w:val="Normal"/>
    <w:semiHidden/>
    <w:pPr>
      <w:spacing w:after="0"/>
      <w:jc w:val="center"/>
    </w:pPr>
    <w:rPr>
      <w:b/>
      <w:caps/>
      <w:sz w:val="32"/>
    </w:rPr>
  </w:style>
  <w:style w:type="paragraph" w:customStyle="1" w:styleId="Designator">
    <w:name w:val="Designator"/>
    <w:basedOn w:val="Normal"/>
    <w:semiHidden/>
    <w:pPr>
      <w:spacing w:after="0"/>
      <w:jc w:val="center"/>
    </w:pPr>
    <w:rPr>
      <w:b/>
      <w:caps/>
      <w:sz w:val="32"/>
    </w:rPr>
  </w:style>
  <w:style w:type="paragraph" w:customStyle="1" w:styleId="References">
    <w:name w:val="References"/>
    <w:basedOn w:val="Normal"/>
    <w:uiPriority w:val="1"/>
    <w:pPr>
      <w:ind w:left="5102" w:right="-567"/>
      <w:contextualSpacing/>
      <w:jc w:val="left"/>
    </w:pPr>
    <w:rPr>
      <w:sz w:val="20"/>
    </w:rPr>
  </w:style>
  <w:style w:type="paragraph" w:styleId="Date">
    <w:name w:val="Date"/>
    <w:basedOn w:val="Normal"/>
    <w:next w:val="References"/>
    <w:uiPriority w:val="1"/>
    <w:pPr>
      <w:spacing w:after="0"/>
      <w:ind w:left="5102" w:right="-567"/>
      <w:jc w:val="left"/>
    </w:pPr>
  </w:style>
  <w:style w:type="paragraph" w:customStyle="1" w:styleId="Contact">
    <w:name w:val="Contact"/>
    <w:basedOn w:val="Normal"/>
    <w:uiPriority w:val="1"/>
    <w:pPr>
      <w:spacing w:before="480" w:after="0"/>
      <w:ind w:left="567" w:hanging="567"/>
      <w:contextualSpacing/>
      <w:jc w:val="left"/>
    </w:pPr>
  </w:style>
  <w:style w:type="paragraph" w:styleId="Caption">
    <w:name w:val="caption"/>
    <w:basedOn w:val="Normal"/>
    <w:next w:val="Normal"/>
    <w:semiHidden/>
    <w:pPr>
      <w:spacing w:before="160"/>
    </w:pPr>
    <w:rPr>
      <w:i/>
      <w:sz w:val="22"/>
    </w:rPr>
  </w:style>
  <w:style w:type="paragraph" w:customStyle="1" w:styleId="ZDGName">
    <w:name w:val="Z_DGName"/>
    <w:basedOn w:val="Normal"/>
    <w:uiPriority w:val="2"/>
    <w:pPr>
      <w:widowControl w:val="0"/>
      <w:spacing w:after="0"/>
      <w:ind w:right="85"/>
      <w:jc w:val="left"/>
    </w:pPr>
    <w:rPr>
      <w:sz w:val="16"/>
    </w:rPr>
  </w:style>
  <w:style w:type="paragraph" w:customStyle="1" w:styleId="ZCom">
    <w:name w:val="Z_Com"/>
    <w:basedOn w:val="Normal"/>
    <w:next w:val="Normal"/>
    <w:uiPriority w:val="2"/>
    <w:pPr>
      <w:widowControl w:val="0"/>
      <w:spacing w:before="90" w:after="0"/>
      <w:ind w:right="85"/>
    </w:pPr>
  </w:style>
  <w:style w:type="paragraph" w:customStyle="1" w:styleId="ZFlag">
    <w:name w:val="Z_Flag"/>
    <w:basedOn w:val="Normal"/>
    <w:next w:val="Normal"/>
    <w:uiPriority w:val="2"/>
    <w:pPr>
      <w:widowControl w:val="0"/>
      <w:spacing w:after="0"/>
      <w:ind w:right="85"/>
    </w:pPr>
  </w:style>
  <w:style w:type="paragraph" w:customStyle="1" w:styleId="Text1">
    <w:name w:val="Text 1"/>
    <w:basedOn w:val="Normal"/>
    <w:uiPriority w:val="1"/>
    <w:qFormat/>
    <w:pPr>
      <w:ind w:left="482"/>
    </w:pPr>
  </w:style>
  <w:style w:type="paragraph" w:customStyle="1" w:styleId="Text2">
    <w:name w:val="Text 2"/>
    <w:basedOn w:val="Normal"/>
    <w:uiPriority w:val="1"/>
    <w:qFormat/>
    <w:pPr>
      <w:ind w:left="1077"/>
    </w:pPr>
  </w:style>
  <w:style w:type="paragraph" w:customStyle="1" w:styleId="Text3">
    <w:name w:val="Text 3"/>
    <w:basedOn w:val="Normal"/>
    <w:uiPriority w:val="1"/>
    <w:qFormat/>
    <w:pPr>
      <w:ind w:left="1916"/>
    </w:pPr>
  </w:style>
  <w:style w:type="paragraph" w:customStyle="1" w:styleId="Text4">
    <w:name w:val="Text 4"/>
    <w:basedOn w:val="Normal"/>
    <w:uiPriority w:val="1"/>
    <w:qFormat/>
    <w:pPr>
      <w:ind w:left="2880"/>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TableLetterhead">
    <w:name w:val="Table Letterhead"/>
    <w:basedOn w:val="TableNormal"/>
    <w:semiHidden/>
    <w:tblPr>
      <w:tblCellMar>
        <w:left w:w="0" w:type="dxa"/>
        <w:bottom w:w="340" w:type="dxa"/>
        <w:right w:w="0" w:type="dxa"/>
      </w:tblCellMar>
    </w:tblPr>
  </w:style>
  <w:style w:type="paragraph" w:styleId="BalloonText">
    <w:name w:val="Balloon Text"/>
    <w:basedOn w:val="Normal"/>
    <w:link w:val="BalloonTextChar"/>
    <w:uiPriority w:val="99"/>
    <w:semiHidden/>
    <w:locked/>
    <w:rsid w:val="00B51782"/>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1782"/>
    <w:rPr>
      <w:rFonts w:ascii="Segoe UI" w:hAnsi="Segoe UI" w:cs="Segoe UI"/>
      <w:sz w:val="18"/>
      <w:szCs w:val="18"/>
    </w:rPr>
  </w:style>
  <w:style w:type="character" w:customStyle="1" w:styleId="Marker">
    <w:name w:val="Marker"/>
    <w:basedOn w:val="DefaultParagraphFont"/>
    <w:rsid w:val="000830E3"/>
    <w:rPr>
      <w:color w:val="0000FF"/>
      <w:shd w:val="clear" w:color="auto" w:fill="auto"/>
    </w:rPr>
  </w:style>
  <w:style w:type="paragraph" w:customStyle="1" w:styleId="Pagedecouverture">
    <w:name w:val="Page de couverture"/>
    <w:basedOn w:val="Normal"/>
    <w:next w:val="Normal"/>
    <w:rsid w:val="000830E3"/>
    <w:pPr>
      <w:spacing w:after="0"/>
    </w:pPr>
    <w:rPr>
      <w:rFonts w:eastAsiaTheme="minorHAnsi"/>
      <w:szCs w:val="22"/>
      <w:lang w:eastAsia="en-US"/>
    </w:rPr>
  </w:style>
  <w:style w:type="paragraph" w:customStyle="1" w:styleId="FooterCoverPage">
    <w:name w:val="Footer Cover Page"/>
    <w:basedOn w:val="Normal"/>
    <w:link w:val="FooterCoverPageChar"/>
    <w:rsid w:val="000830E3"/>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0830E3"/>
  </w:style>
  <w:style w:type="paragraph" w:customStyle="1" w:styleId="FooterSensitivity">
    <w:name w:val="Footer Sensitivity"/>
    <w:basedOn w:val="Normal"/>
    <w:link w:val="FooterSensitivityChar"/>
    <w:rsid w:val="000830E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sid w:val="000830E3"/>
    <w:rPr>
      <w:b/>
      <w:sz w:val="32"/>
    </w:rPr>
  </w:style>
  <w:style w:type="paragraph" w:customStyle="1" w:styleId="HeaderCoverPage">
    <w:name w:val="Header Cover Page"/>
    <w:basedOn w:val="Normal"/>
    <w:link w:val="HeaderCoverPageChar"/>
    <w:rsid w:val="000830E3"/>
    <w:pPr>
      <w:tabs>
        <w:tab w:val="center" w:pos="4535"/>
        <w:tab w:val="right" w:pos="9071"/>
      </w:tabs>
      <w:spacing w:after="120"/>
    </w:pPr>
  </w:style>
  <w:style w:type="character" w:customStyle="1" w:styleId="HeaderCoverPageChar">
    <w:name w:val="Header Cover Page Char"/>
    <w:basedOn w:val="DefaultParagraphFont"/>
    <w:link w:val="HeaderCoverPage"/>
    <w:rsid w:val="000830E3"/>
  </w:style>
  <w:style w:type="paragraph" w:customStyle="1" w:styleId="HeaderSensitivity">
    <w:name w:val="Header Sensitivity"/>
    <w:basedOn w:val="Normal"/>
    <w:link w:val="HeaderSensitivityChar"/>
    <w:rsid w:val="000830E3"/>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sid w:val="000830E3"/>
    <w:rPr>
      <w:b/>
      <w:sz w:val="32"/>
    </w:rPr>
  </w:style>
  <w:style w:type="paragraph" w:customStyle="1" w:styleId="HeaderSensitivityRight">
    <w:name w:val="Header Sensitivity Right"/>
    <w:basedOn w:val="Normal"/>
    <w:link w:val="HeaderSensitivityRightChar"/>
    <w:rsid w:val="000830E3"/>
    <w:pPr>
      <w:spacing w:after="120"/>
      <w:jc w:val="right"/>
    </w:pPr>
    <w:rPr>
      <w:sz w:val="28"/>
    </w:rPr>
  </w:style>
  <w:style w:type="character" w:customStyle="1" w:styleId="HeaderSensitivityRightChar">
    <w:name w:val="Header Sensitivity Right Char"/>
    <w:basedOn w:val="DefaultParagraphFont"/>
    <w:link w:val="HeaderSensitivityRight"/>
    <w:rsid w:val="000830E3"/>
    <w:rPr>
      <w:sz w:val="28"/>
    </w:rPr>
  </w:style>
  <w:style w:type="character" w:customStyle="1" w:styleId="FooterChar">
    <w:name w:val="Footer Char"/>
    <w:basedOn w:val="DefaultParagraphFont"/>
    <w:link w:val="Footer"/>
    <w:uiPriority w:val="99"/>
    <w:rsid w:val="000830E3"/>
    <w:rPr>
      <w:sz w:val="16"/>
    </w:rPr>
  </w:style>
  <w:style w:type="paragraph" w:customStyle="1" w:styleId="Languesfaisantfoi">
    <w:name w:val="Langues faisant foi"/>
    <w:basedOn w:val="Normal"/>
    <w:next w:val="Normal"/>
    <w:rsid w:val="00504968"/>
    <w:pPr>
      <w:spacing w:before="360"/>
      <w:jc w:val="center"/>
    </w:pPr>
    <w:rPr>
      <w:rFonts w:eastAsiaTheme="minorHAnsi"/>
      <w:szCs w:val="22"/>
      <w:lang w:eastAsia="en-US"/>
    </w:rPr>
  </w:style>
  <w:style w:type="paragraph" w:customStyle="1" w:styleId="LanguesfaisantfoiPagedecouverture">
    <w:name w:val="Langues faisant foi (Page de couverture)"/>
    <w:basedOn w:val="Normal"/>
    <w:next w:val="Normal"/>
    <w:rsid w:val="00504968"/>
    <w:pPr>
      <w:spacing w:before="360"/>
      <w:jc w:val="center"/>
    </w:pPr>
    <w:rPr>
      <w:rFonts w:eastAsiaTheme="minorHAnsi"/>
      <w:szCs w:val="22"/>
      <w:lang w:eastAsia="en-US"/>
    </w:rPr>
  </w:style>
  <w:style w:type="paragraph" w:customStyle="1" w:styleId="IntrtEEE">
    <w:name w:val="Intérêt EEE"/>
    <w:basedOn w:val="Languesfaisantfoi"/>
    <w:next w:val="Normal"/>
    <w:rsid w:val="00504968"/>
    <w:pPr>
      <w:spacing w:after="0"/>
    </w:pPr>
  </w:style>
  <w:style w:type="paragraph" w:customStyle="1" w:styleId="IntrtEEEPagedecouverture">
    <w:name w:val="Intérêt EEE (Page de couverture)"/>
    <w:basedOn w:val="IntrtEEE"/>
    <w:next w:val="Normal"/>
    <w:rsid w:val="00504968"/>
  </w:style>
  <w:style w:type="numbering" w:customStyle="1" w:styleId="NoList1">
    <w:name w:val="No List1"/>
    <w:next w:val="NoList"/>
    <w:uiPriority w:val="99"/>
    <w:semiHidden/>
    <w:unhideWhenUsed/>
    <w:rsid w:val="00165CC4"/>
  </w:style>
  <w:style w:type="character" w:customStyle="1" w:styleId="FootnoteTextChar">
    <w:name w:val="Footnote Text Char"/>
    <w:aliases w:val="Footnote Text Char Char Char,Footnote text Char,Footnote Text Char2 Char Char,Footnote Text Char1 Char1 Char Char,Footnote Text Char2 Char Char Char Char,Footnote Text Char1 Char1 Char Char Char Char,Plonk Char,fn Char,Fußnote Char"/>
    <w:basedOn w:val="DefaultParagraphFont"/>
    <w:link w:val="FootnoteText"/>
    <w:uiPriority w:val="99"/>
    <w:qFormat/>
    <w:rsid w:val="00FE2C2E"/>
    <w:rPr>
      <w:sz w:val="20"/>
    </w:rPr>
  </w:style>
  <w:style w:type="character" w:styleId="CommentReference">
    <w:name w:val="annotation reference"/>
    <w:basedOn w:val="DefaultParagraphFont"/>
    <w:uiPriority w:val="99"/>
    <w:semiHidden/>
    <w:unhideWhenUsed/>
    <w:locked/>
    <w:rsid w:val="00165CC4"/>
    <w:rPr>
      <w:sz w:val="16"/>
      <w:szCs w:val="16"/>
    </w:rPr>
  </w:style>
  <w:style w:type="paragraph" w:styleId="CommentText">
    <w:name w:val="annotation text"/>
    <w:basedOn w:val="Normal"/>
    <w:link w:val="CommentTextChar"/>
    <w:uiPriority w:val="99"/>
    <w:unhideWhenUsed/>
    <w:locked/>
    <w:rsid w:val="00165CC4"/>
    <w:rPr>
      <w:rFonts w:eastAsiaTheme="minorHAnsi" w:cstheme="minorBidi"/>
      <w:sz w:val="20"/>
      <w:lang w:val="en-US" w:eastAsia="en-US"/>
    </w:rPr>
  </w:style>
  <w:style w:type="character" w:customStyle="1" w:styleId="CommentTextChar">
    <w:name w:val="Comment Text Char"/>
    <w:basedOn w:val="DefaultParagraphFont"/>
    <w:link w:val="CommentText"/>
    <w:uiPriority w:val="99"/>
    <w:rsid w:val="00165CC4"/>
    <w:rPr>
      <w:rFonts w:eastAsiaTheme="minorHAnsi" w:cstheme="minorBidi"/>
      <w:sz w:val="20"/>
      <w:lang w:val="en-US" w:eastAsia="en-US"/>
    </w:rPr>
  </w:style>
  <w:style w:type="character" w:styleId="FootnoteReference">
    <w:name w:val="footnote reference"/>
    <w:aliases w:val="Przypis,BVI fnr,SUPERS,Footnote symbol,(Footnote Reference),Footnote,Voetnootverwijzing,Times 10 Point,Exposant 3 Point,Footnote reference number,note TESI,Odwołanie przypisu,Footnote Reference Number,Footnote Reference_LVL6,Ref,Char1"/>
    <w:basedOn w:val="DefaultParagraphFont"/>
    <w:link w:val="ftrefCharCharCharCharCharCharCharCharChar"/>
    <w:uiPriority w:val="99"/>
    <w:unhideWhenUsed/>
    <w:qFormat/>
    <w:locked/>
    <w:rsid w:val="00165CC4"/>
    <w:rPr>
      <w:vertAlign w:val="superscript"/>
    </w:rPr>
  </w:style>
  <w:style w:type="character" w:customStyle="1" w:styleId="TitleChar">
    <w:name w:val="Title Char"/>
    <w:basedOn w:val="DefaultParagraphFont"/>
    <w:link w:val="Title"/>
    <w:uiPriority w:val="10"/>
    <w:rsid w:val="00165CC4"/>
    <w:rPr>
      <w:b/>
      <w:kern w:val="28"/>
      <w:sz w:val="48"/>
    </w:rPr>
  </w:style>
  <w:style w:type="table" w:styleId="GridTable7Colorful-Accent6">
    <w:name w:val="Grid Table 7 Colorful Accent 6"/>
    <w:basedOn w:val="TableNormal"/>
    <w:uiPriority w:val="52"/>
    <w:locked/>
    <w:rsid w:val="00165CC4"/>
    <w:rPr>
      <w:rFonts w:asciiTheme="minorHAnsi" w:eastAsiaTheme="minorHAnsi" w:hAnsiTheme="minorHAnsi" w:cstheme="minorBidi"/>
      <w:color w:val="538135" w:themeColor="accent6" w:themeShade="BF"/>
      <w:sz w:val="22"/>
      <w:szCs w:val="22"/>
      <w:lang w:val="en-US" w:eastAsia="en-US"/>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eading1Char">
    <w:name w:val="Heading 1 Char"/>
    <w:basedOn w:val="DefaultParagraphFont"/>
    <w:link w:val="Heading1"/>
    <w:uiPriority w:val="9"/>
    <w:rsid w:val="00165CC4"/>
    <w:rPr>
      <w:b/>
      <w:smallCaps/>
    </w:rPr>
  </w:style>
  <w:style w:type="character" w:customStyle="1" w:styleId="Heading2Char">
    <w:name w:val="Heading 2 Char"/>
    <w:basedOn w:val="DefaultParagraphFont"/>
    <w:link w:val="Heading2"/>
    <w:uiPriority w:val="9"/>
    <w:rsid w:val="00165CC4"/>
    <w:rPr>
      <w:b/>
    </w:rPr>
  </w:style>
  <w:style w:type="character" w:customStyle="1" w:styleId="Heading3Char">
    <w:name w:val="Heading 3 Char"/>
    <w:basedOn w:val="DefaultParagraphFont"/>
    <w:link w:val="Heading3"/>
    <w:uiPriority w:val="9"/>
    <w:rsid w:val="00165CC4"/>
    <w:rPr>
      <w:i/>
    </w:rPr>
  </w:style>
  <w:style w:type="character" w:customStyle="1" w:styleId="Heading4Char">
    <w:name w:val="Heading 4 Char"/>
    <w:basedOn w:val="DefaultParagraphFont"/>
    <w:link w:val="Heading4"/>
    <w:uiPriority w:val="9"/>
    <w:rsid w:val="00165CC4"/>
  </w:style>
  <w:style w:type="character" w:customStyle="1" w:styleId="Heading5Char">
    <w:name w:val="Heading 5 Char"/>
    <w:basedOn w:val="DefaultParagraphFont"/>
    <w:link w:val="Heading5"/>
    <w:uiPriority w:val="9"/>
    <w:semiHidden/>
    <w:rsid w:val="00165CC4"/>
  </w:style>
  <w:style w:type="character" w:customStyle="1" w:styleId="Heading6Char">
    <w:name w:val="Heading 6 Char"/>
    <w:basedOn w:val="DefaultParagraphFont"/>
    <w:link w:val="Heading6"/>
    <w:uiPriority w:val="9"/>
    <w:semiHidden/>
    <w:rsid w:val="00165CC4"/>
  </w:style>
  <w:style w:type="character" w:customStyle="1" w:styleId="Heading7Char">
    <w:name w:val="Heading 7 Char"/>
    <w:basedOn w:val="DefaultParagraphFont"/>
    <w:link w:val="Heading7"/>
    <w:uiPriority w:val="9"/>
    <w:semiHidden/>
    <w:rsid w:val="00165CC4"/>
  </w:style>
  <w:style w:type="character" w:customStyle="1" w:styleId="Heading8Char">
    <w:name w:val="Heading 8 Char"/>
    <w:basedOn w:val="DefaultParagraphFont"/>
    <w:link w:val="Heading8"/>
    <w:uiPriority w:val="9"/>
    <w:semiHidden/>
    <w:rsid w:val="00165CC4"/>
  </w:style>
  <w:style w:type="character" w:customStyle="1" w:styleId="Heading9Char">
    <w:name w:val="Heading 9 Char"/>
    <w:basedOn w:val="DefaultParagraphFont"/>
    <w:link w:val="Heading9"/>
    <w:uiPriority w:val="9"/>
    <w:semiHidden/>
    <w:rsid w:val="00165CC4"/>
  </w:style>
  <w:style w:type="paragraph" w:customStyle="1" w:styleId="FootnoteRoLReport">
    <w:name w:val="Footnote RoL Report"/>
    <w:basedOn w:val="FootnoteText"/>
    <w:link w:val="FootnoteRoLReportChar"/>
    <w:autoRedefine/>
    <w:qFormat/>
    <w:rsid w:val="00165CC4"/>
    <w:pPr>
      <w:ind w:left="284" w:hanging="284"/>
      <w:outlineLvl w:val="0"/>
    </w:pPr>
    <w:rPr>
      <w:rFonts w:eastAsiaTheme="minorHAnsi" w:cstheme="minorBidi"/>
      <w:lang w:val="en-US" w:eastAsia="en-US"/>
    </w:rPr>
  </w:style>
  <w:style w:type="character" w:customStyle="1" w:styleId="FootnoteRoLReportChar">
    <w:name w:val="Footnote RoL Report Char"/>
    <w:basedOn w:val="FootnoteTextChar"/>
    <w:link w:val="FootnoteRoLReport"/>
    <w:rsid w:val="00165CC4"/>
    <w:rPr>
      <w:rFonts w:eastAsiaTheme="minorHAnsi" w:cstheme="minorBidi"/>
      <w:sz w:val="20"/>
      <w:lang w:val="en-US" w:eastAsia="en-US"/>
    </w:rPr>
  </w:style>
  <w:style w:type="paragraph" w:styleId="ListParagraph">
    <w:name w:val="List Paragraph"/>
    <w:basedOn w:val="Normal"/>
    <w:link w:val="ListParagraphChar"/>
    <w:uiPriority w:val="34"/>
    <w:qFormat/>
    <w:locked/>
    <w:rsid w:val="00165CC4"/>
    <w:pPr>
      <w:ind w:left="720"/>
      <w:contextualSpacing/>
    </w:pPr>
    <w:rPr>
      <w:rFonts w:eastAsiaTheme="minorHAnsi" w:cstheme="minorBidi"/>
      <w:szCs w:val="22"/>
      <w:lang w:val="en-US" w:eastAsia="en-US"/>
    </w:rPr>
  </w:style>
  <w:style w:type="character" w:styleId="Hyperlink">
    <w:name w:val="Hyperlink"/>
    <w:basedOn w:val="DefaultParagraphFont"/>
    <w:uiPriority w:val="99"/>
    <w:unhideWhenUsed/>
    <w:locked/>
    <w:rsid w:val="00165CC4"/>
    <w:rPr>
      <w:color w:val="0563C1" w:themeColor="hyperlink"/>
      <w:u w:val="single"/>
    </w:rPr>
  </w:style>
  <w:style w:type="character" w:customStyle="1" w:styleId="UnresolvedMention">
    <w:name w:val="Unresolved Mention"/>
    <w:basedOn w:val="DefaultParagraphFont"/>
    <w:uiPriority w:val="99"/>
    <w:semiHidden/>
    <w:unhideWhenUsed/>
    <w:rsid w:val="00165CC4"/>
    <w:rPr>
      <w:color w:val="605E5C"/>
      <w:shd w:val="clear" w:color="auto" w:fill="E1DFDD"/>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165CC4"/>
    <w:pPr>
      <w:spacing w:after="160" w:line="240" w:lineRule="exact"/>
    </w:pPr>
    <w:rPr>
      <w:vertAlign w:val="superscript"/>
    </w:rPr>
  </w:style>
  <w:style w:type="paragraph" w:styleId="CommentSubject">
    <w:name w:val="annotation subject"/>
    <w:basedOn w:val="CommentText"/>
    <w:next w:val="CommentText"/>
    <w:link w:val="CommentSubjectChar"/>
    <w:uiPriority w:val="99"/>
    <w:semiHidden/>
    <w:unhideWhenUsed/>
    <w:locked/>
    <w:rsid w:val="00165CC4"/>
    <w:rPr>
      <w:b/>
      <w:bCs/>
    </w:rPr>
  </w:style>
  <w:style w:type="character" w:customStyle="1" w:styleId="CommentSubjectChar">
    <w:name w:val="Comment Subject Char"/>
    <w:basedOn w:val="CommentTextChar"/>
    <w:link w:val="CommentSubject"/>
    <w:uiPriority w:val="99"/>
    <w:semiHidden/>
    <w:rsid w:val="00165CC4"/>
    <w:rPr>
      <w:rFonts w:eastAsiaTheme="minorHAnsi" w:cstheme="minorBidi"/>
      <w:b/>
      <w:bCs/>
      <w:sz w:val="20"/>
      <w:lang w:val="en-US" w:eastAsia="en-US"/>
    </w:rPr>
  </w:style>
  <w:style w:type="character" w:styleId="FollowedHyperlink">
    <w:name w:val="FollowedHyperlink"/>
    <w:basedOn w:val="DefaultParagraphFont"/>
    <w:uiPriority w:val="99"/>
    <w:semiHidden/>
    <w:unhideWhenUsed/>
    <w:locked/>
    <w:rsid w:val="00165CC4"/>
    <w:rPr>
      <w:color w:val="954F72" w:themeColor="followedHyperlink"/>
      <w:u w:val="single"/>
    </w:rPr>
  </w:style>
  <w:style w:type="character" w:customStyle="1" w:styleId="normaltextrun">
    <w:name w:val="normaltextrun"/>
    <w:basedOn w:val="DefaultParagraphFont"/>
    <w:rsid w:val="00165CC4"/>
  </w:style>
  <w:style w:type="paragraph" w:styleId="Revision">
    <w:name w:val="Revision"/>
    <w:hidden/>
    <w:uiPriority w:val="99"/>
    <w:semiHidden/>
    <w:locked/>
    <w:rsid w:val="00165CC4"/>
    <w:rPr>
      <w:rFonts w:eastAsiaTheme="minorHAnsi" w:cstheme="minorBidi"/>
      <w:szCs w:val="22"/>
      <w:lang w:val="en-US" w:eastAsia="en-US"/>
    </w:rPr>
  </w:style>
  <w:style w:type="character" w:customStyle="1" w:styleId="Mention">
    <w:name w:val="Mention"/>
    <w:basedOn w:val="DefaultParagraphFont"/>
    <w:uiPriority w:val="99"/>
    <w:unhideWhenUsed/>
    <w:rsid w:val="00165CC4"/>
    <w:rPr>
      <w:color w:val="2B579A"/>
      <w:shd w:val="clear" w:color="auto" w:fill="E1DFDD"/>
    </w:rPr>
  </w:style>
  <w:style w:type="character" w:customStyle="1" w:styleId="ListParagraphChar">
    <w:name w:val="List Paragraph Char"/>
    <w:basedOn w:val="DefaultParagraphFont"/>
    <w:link w:val="ListParagraph"/>
    <w:uiPriority w:val="34"/>
    <w:rsid w:val="00165CC4"/>
    <w:rPr>
      <w:rFonts w:eastAsiaTheme="minorHAnsi" w:cstheme="minorBidi"/>
      <w:szCs w:val="22"/>
      <w:lang w:val="en-US" w:eastAsia="en-US"/>
    </w:rPr>
  </w:style>
  <w:style w:type="character" w:customStyle="1" w:styleId="FootnoteTextChar1">
    <w:name w:val="Footnote Text Char1"/>
    <w:basedOn w:val="DefaultParagraphFont"/>
    <w:uiPriority w:val="99"/>
    <w:semiHidden/>
    <w:rsid w:val="00165CC4"/>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3220210">
      <w:bodyDiv w:val="1"/>
      <w:marLeft w:val="0"/>
      <w:marRight w:val="0"/>
      <w:marTop w:val="0"/>
      <w:marBottom w:val="0"/>
      <w:divBdr>
        <w:top w:val="none" w:sz="0" w:space="0" w:color="auto"/>
        <w:left w:val="none" w:sz="0" w:space="0" w:color="auto"/>
        <w:bottom w:val="none" w:sz="0" w:space="0" w:color="auto"/>
        <w:right w:val="none" w:sz="0" w:space="0" w:color="auto"/>
      </w:divBdr>
    </w:div>
    <w:div w:id="424769581">
      <w:bodyDiv w:val="1"/>
      <w:marLeft w:val="0"/>
      <w:marRight w:val="0"/>
      <w:marTop w:val="0"/>
      <w:marBottom w:val="0"/>
      <w:divBdr>
        <w:top w:val="none" w:sz="0" w:space="0" w:color="auto"/>
        <w:left w:val="none" w:sz="0" w:space="0" w:color="auto"/>
        <w:bottom w:val="none" w:sz="0" w:space="0" w:color="auto"/>
        <w:right w:val="none" w:sz="0" w:space="0" w:color="auto"/>
      </w:divBdr>
    </w:div>
    <w:div w:id="600795246">
      <w:bodyDiv w:val="1"/>
      <w:marLeft w:val="0"/>
      <w:marRight w:val="0"/>
      <w:marTop w:val="0"/>
      <w:marBottom w:val="0"/>
      <w:divBdr>
        <w:top w:val="none" w:sz="0" w:space="0" w:color="auto"/>
        <w:left w:val="none" w:sz="0" w:space="0" w:color="auto"/>
        <w:bottom w:val="none" w:sz="0" w:space="0" w:color="auto"/>
        <w:right w:val="none" w:sz="0" w:space="0" w:color="auto"/>
      </w:divBdr>
    </w:div>
    <w:div w:id="850022835">
      <w:bodyDiv w:val="1"/>
      <w:marLeft w:val="0"/>
      <w:marRight w:val="0"/>
      <w:marTop w:val="0"/>
      <w:marBottom w:val="0"/>
      <w:divBdr>
        <w:top w:val="none" w:sz="0" w:space="0" w:color="auto"/>
        <w:left w:val="none" w:sz="0" w:space="0" w:color="auto"/>
        <w:bottom w:val="none" w:sz="0" w:space="0" w:color="auto"/>
        <w:right w:val="none" w:sz="0" w:space="0" w:color="auto"/>
      </w:divBdr>
    </w:div>
    <w:div w:id="1076707412">
      <w:bodyDiv w:val="1"/>
      <w:marLeft w:val="0"/>
      <w:marRight w:val="0"/>
      <w:marTop w:val="0"/>
      <w:marBottom w:val="0"/>
      <w:divBdr>
        <w:top w:val="none" w:sz="0" w:space="0" w:color="auto"/>
        <w:left w:val="none" w:sz="0" w:space="0" w:color="auto"/>
        <w:bottom w:val="none" w:sz="0" w:space="0" w:color="auto"/>
        <w:right w:val="none" w:sz="0" w:space="0" w:color="auto"/>
      </w:divBdr>
    </w:div>
    <w:div w:id="13549635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www.liberties.eu/f/wtaqoq" TargetMode="External"/><Relationship Id="rId21" Type="http://schemas.openxmlformats.org/officeDocument/2006/relationships/footer" Target="footer3.xml"/><Relationship Id="rId34" Type="http://schemas.openxmlformats.org/officeDocument/2006/relationships/hyperlink" Target="https://rm.coe.int/1680b4c6be" TargetMode="External"/><Relationship Id="rId42" Type="http://schemas.openxmlformats.org/officeDocument/2006/relationships/hyperlink" Target="https://www.dji.nl/documenten/2025/07/10/infoblad-visueel-toezicht-in-de-ait-en-ebi---voor-rechtsbijstandsverleners" TargetMode="External"/><Relationship Id="rId47" Type="http://schemas.openxmlformats.org/officeDocument/2006/relationships/hyperlink" Target="https://www.encj.eu/index.php/node/867" TargetMode="External"/><Relationship Id="rId50" Type="http://schemas.openxmlformats.org/officeDocument/2006/relationships/hyperlink" Target="https://rm.coe.int/grecorc5-2025-9-final-eng-add-to-the-2nd-compliance-report-netherlands/1680b69223" TargetMode="External"/><Relationship Id="rId55" Type="http://schemas.openxmlformats.org/officeDocument/2006/relationships/hyperlink" Target="https://www.tweedekamer.nl/downloads/document?id=2026D21257" TargetMode="External"/><Relationship Id="rId63" Type="http://schemas.openxmlformats.org/officeDocument/2006/relationships/hyperlink" Target="https://publicaties.mensenrechten.nl/publicatie/53cefe0d-475b-4ab6-9154-41a081472f9a" TargetMode="External"/><Relationship Id="rId68" Type="http://schemas.openxmlformats.org/officeDocument/2006/relationships/hyperlink" Target="https://rvdj.nl/assets/uploads/2025/07/Raad-voor-de-Journalistiek-Jaarverslag-2024-V5.pdf" TargetMode="External"/><Relationship Id="rId76" Type="http://schemas.openxmlformats.org/officeDocument/2006/relationships/hyperlink" Target="https://www.hogeraad.nl/actueel/nieuwsoverzicht/2025/maart/vervolgonderzoek-pg-hoge-raad-strafbeschikking/" TargetMode="External"/><Relationship Id="rId84" Type="http://schemas.openxmlformats.org/officeDocument/2006/relationships/hyperlink" Target="https://www.tweedekamer.nl/kamerstukken/brieven_regering/detail?id=2026Z10999&amp;did=2026D24954" TargetMode="External"/><Relationship Id="rId89" Type="http://schemas.openxmlformats.org/officeDocument/2006/relationships/hyperlink" Target="https://www.coe.int/en/web/venice-commission/-/cdl-ad-2023-029-e" TargetMode="External"/><Relationship Id="rId97" Type="http://schemas.openxmlformats.org/officeDocument/2006/relationships/fontTable" Target="fontTable.xml"/><Relationship Id="rId7" Type="http://schemas.openxmlformats.org/officeDocument/2006/relationships/customXml" Target="../customXml/item7.xml"/><Relationship Id="rId71" Type="http://schemas.openxmlformats.org/officeDocument/2006/relationships/hyperlink" Target="https://www.om.nl/actueel/nieuws/2025/08/04/om-gaat-stapsgewijs-online" TargetMode="External"/><Relationship Id="rId92"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1.xml"/><Relationship Id="rId29" Type="http://schemas.openxmlformats.org/officeDocument/2006/relationships/hyperlink" Target="https://www.tweedekamer.nl/sites/default/files/2026-03/Jaarverslag%202025%20van%20het%20College%20van%20onderzoek%20integriteit.pdf" TargetMode="External"/><Relationship Id="rId11" Type="http://schemas.openxmlformats.org/officeDocument/2006/relationships/settings" Target="settings.xml"/><Relationship Id="rId24" Type="http://schemas.openxmlformats.org/officeDocument/2006/relationships/hyperlink" Target="https://cmpf.eui.eu/projects/media-pluralism-monitor/" TargetMode="External"/><Relationship Id="rId32" Type="http://schemas.openxmlformats.org/officeDocument/2006/relationships/hyperlink" Target="https://www.rechtspraak.nl/binaries/_rts_1776914786729/content/assets/rvdr/jd/rvdr-jd-jaarverslag-rechtspraak-2025.pdf" TargetMode="External"/><Relationship Id="rId37" Type="http://schemas.openxmlformats.org/officeDocument/2006/relationships/hyperlink" Target="https://www.raadvanstate.nl/adviezen/@156044/w04-26-00006/" TargetMode="External"/><Relationship Id="rId40" Type="http://schemas.openxmlformats.org/officeDocument/2006/relationships/hyperlink" Target="https://www.rekenkamer.nl/documenten/2026/05/20/aanpak-minister-om-prestaties-in-de-strafrechtketen-te-verbeteren-is-onvoldoende" TargetMode="External"/><Relationship Id="rId45" Type="http://schemas.openxmlformats.org/officeDocument/2006/relationships/hyperlink" Target="https://www.eerstekamer.nl/wetsvoorstel/36125_initiatiefvoorstel_sneller" TargetMode="External"/><Relationship Id="rId53" Type="http://schemas.openxmlformats.org/officeDocument/2006/relationships/hyperlink" Target="https://www.tweedekamer.nl/kamerstukken/brieven_regering/detail?id=2026Z06584&amp;did=2026D14885" TargetMode="External"/><Relationship Id="rId58" Type="http://schemas.openxmlformats.org/officeDocument/2006/relationships/hyperlink" Target="https://www.nationaleombudsman.nl/nieuws/artikel/2026/demonstratierecht-steeds-verder-onder-druk" TargetMode="External"/><Relationship Id="rId66" Type="http://schemas.openxmlformats.org/officeDocument/2006/relationships/hyperlink" Target="https://publicaties.mensenrechten.nl/publicatie/e5a0bc5d-31a6-4e7f-a14e-12576a8f1fcc" TargetMode="External"/><Relationship Id="rId74" Type="http://schemas.openxmlformats.org/officeDocument/2006/relationships/hyperlink" Target="https://www.wodc.nl/actueel/nieuws/2025/12/11/aanpassing-wetten-rond-demonstratierecht-niet-nodig-en-niet-effectief" TargetMode="External"/><Relationship Id="rId79" Type="http://schemas.openxmlformats.org/officeDocument/2006/relationships/hyperlink" Target="https://www.transparency.nl/nieuws/2026/03/eerste-reactie-ti-nl-op-het-coalitieakkoord-van-d66-vvd-en-cda/" TargetMode="External"/><Relationship Id="rId87" Type="http://schemas.openxmlformats.org/officeDocument/2006/relationships/hyperlink" Target="https://www.tweedekamer.nl/kamerstukken/brieven_regering/detail?id=2025Z16894&amp;did=2025D39209" TargetMode="External"/><Relationship Id="rId5" Type="http://schemas.openxmlformats.org/officeDocument/2006/relationships/customXml" Target="../customXml/item5.xml"/><Relationship Id="rId61" Type="http://schemas.openxmlformats.org/officeDocument/2006/relationships/hyperlink" Target="https://www.rijksoverheid.nl/documenten/2025/08/29/kamerbrief-inzake-kabinetsappreciatie-commissie-rechtsstaatrapport-2025" TargetMode="External"/><Relationship Id="rId82" Type="http://schemas.openxmlformats.org/officeDocument/2006/relationships/hyperlink" Target="https://www.tweedekamer.nl/kamerstukken/brieven_regering/detail?id=2026Z06645&amp;did=2026D15041" TargetMode="External"/><Relationship Id="rId90" Type="http://schemas.openxmlformats.org/officeDocument/2006/relationships/hyperlink" Target="https://www.venice.coe.int/webforms/documents/default.aspx?pdffile=CDL-AD(2013)038-e" TargetMode="External"/><Relationship Id="rId95" Type="http://schemas.openxmlformats.org/officeDocument/2006/relationships/header" Target="header6.xml"/><Relationship Id="rId19" Type="http://schemas.openxmlformats.org/officeDocument/2006/relationships/footer" Target="footer2.xml"/><Relationship Id="rId14" Type="http://schemas.openxmlformats.org/officeDocument/2006/relationships/endnotes" Target="endnotes.xml"/><Relationship Id="rId22" Type="http://schemas.openxmlformats.org/officeDocument/2006/relationships/hyperlink" Target="https://commission.europa.eu/publications/2026-rule-law-report-targeted-stakeholder-consultation_en" TargetMode="External"/><Relationship Id="rId27" Type="http://schemas.openxmlformats.org/officeDocument/2006/relationships/hyperlink" Target="https://www.kabinetsformatie2025.nl/documenten/2026/01/30/aan-de-slag---coalitieakkoord-2026-2030" TargetMode="External"/><Relationship Id="rId30" Type="http://schemas.openxmlformats.org/officeDocument/2006/relationships/hyperlink" Target="https://www.rechtspraak.nl/organisatie-en-contact/organisatie/raad-voor-de-rechtspraak/nieuws/rechtspraak-verwelkomt-voorstel-voor-eigen-begroting" TargetMode="External"/><Relationship Id="rId35" Type="http://schemas.openxmlformats.org/officeDocument/2006/relationships/hyperlink" Target="https://search.coe.int/cm?i=09000016805afb78" TargetMode="External"/><Relationship Id="rId43" Type="http://schemas.openxmlformats.org/officeDocument/2006/relationships/hyperlink" Target="https://www.rijksoverheid.nl/documenten/2025/11/01/voortgang-opvolging-rapport-van-de-onderzoekscommissie-gedrag-en-cultuur-omroepen-door-de-landelijke-publieke-omroepen" TargetMode="External"/><Relationship Id="rId48" Type="http://schemas.openxmlformats.org/officeDocument/2006/relationships/hyperlink" Target="https://goededoelennederland.nl/over-de-sector/nieuws/succes-grote-meerderheid-eerste-kamer-verwerpt-wtmo" TargetMode="External"/><Relationship Id="rId56" Type="http://schemas.openxmlformats.org/officeDocument/2006/relationships/hyperlink" Target="https://www.bureauncdr.nl/actueel/nieuws/2025/11/05/eindelijk-een-voorziening-voor-rechtshulp-en-gelijke-behandeling-in-caribisch-nederland" TargetMode="External"/><Relationship Id="rId64" Type="http://schemas.openxmlformats.org/officeDocument/2006/relationships/hyperlink" Target="https://www.mensenrechten.nl/actueel/nieuws/2025/09/08/maatschappelijk-middenveld-in-nederland-staat-onder-druk" TargetMode="External"/><Relationship Id="rId69" Type="http://schemas.openxmlformats.org/officeDocument/2006/relationships/hyperlink" Target="https://www.om.nl/actueel/magazines/jaarbericht/2025/01" TargetMode="External"/><Relationship Id="rId77" Type="http://schemas.openxmlformats.org/officeDocument/2006/relationships/hyperlink" Target="https://www.hogeraad.nl/actueel/nieuwsoverzicht/2026/mei/resultaten-vervolgonderzoek-strafbeschikking-aangeboden/" TargetMode="External"/><Relationship Id="rId8" Type="http://schemas.openxmlformats.org/officeDocument/2006/relationships/customXml" Target="../customXml/item8.xml"/><Relationship Id="rId51" Type="http://schemas.openxmlformats.org/officeDocument/2006/relationships/hyperlink" Target="https://www.recht.nl/s3/attachment/?nref=254290&amp;uref=571836&amp;id=7828xbf3357f101a65cd25f21bce38d2e7c6e" TargetMode="External"/><Relationship Id="rId72" Type="http://schemas.openxmlformats.org/officeDocument/2006/relationships/hyperlink" Target="https://repository.wodc.nl/handle/20.500.12832/3521" TargetMode="External"/><Relationship Id="rId80" Type="http://schemas.openxmlformats.org/officeDocument/2006/relationships/hyperlink" Target="https://www.tweedekamer.nl/kamerstukken/kamervragen/detail?id=2026Z03080&amp;did=2026D06913." TargetMode="External"/><Relationship Id="rId85" Type="http://schemas.openxmlformats.org/officeDocument/2006/relationships/hyperlink" Target="https://www.tweedekamer.nl/kamerstukken/brieven_regering/detail?id=2026Z11752&amp;did=2026D26790" TargetMode="External"/><Relationship Id="rId93" Type="http://schemas.openxmlformats.org/officeDocument/2006/relationships/footer" Target="footer4.xml"/><Relationship Id="rId98"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webSettings" Target="webSettings.xml"/><Relationship Id="rId17" Type="http://schemas.openxmlformats.org/officeDocument/2006/relationships/header" Target="header2.xml"/><Relationship Id="rId25" Type="http://schemas.openxmlformats.org/officeDocument/2006/relationships/hyperlink" Target="https://www.rijksoverheid.nl/documenten/rapporten/2025/10/02/beheersing-fraude-en-corruptierisico-s" TargetMode="External"/><Relationship Id="rId33" Type="http://schemas.openxmlformats.org/officeDocument/2006/relationships/hyperlink" Target="https://rm.coe.int/2025-annual-report/48802b1633" TargetMode="External"/><Relationship Id="rId38" Type="http://schemas.openxmlformats.org/officeDocument/2006/relationships/hyperlink" Target="https://www.raadvanstate.nl/actueel/nieuws/december/adviezen-vervolging-wegens-ambtsdelicten/" TargetMode="External"/><Relationship Id="rId46" Type="http://schemas.openxmlformats.org/officeDocument/2006/relationships/hyperlink" Target="https://www.eppo.europa.eu/assets/annual-report-2025/pdfs/EPPO_Annual_Report_2025_en.pdf" TargetMode="External"/><Relationship Id="rId59" Type="http://schemas.openxmlformats.org/officeDocument/2006/relationships/hyperlink" Target="https://www.advocatenorde.nl/voor-advocaten/de-rol-van-de-advocatuur-de-rechtsstaat" TargetMode="External"/><Relationship Id="rId67" Type="http://schemas.openxmlformats.org/officeDocument/2006/relationships/hyperlink" Target="https://nos.nl/artikel/2591625-rechten-burgers-vaker-ingeperkt-met-noodmaatregelen-soms-langdurig" TargetMode="External"/><Relationship Id="rId20" Type="http://schemas.openxmlformats.org/officeDocument/2006/relationships/header" Target="header3.xml"/><Relationship Id="rId41" Type="http://schemas.openxmlformats.org/officeDocument/2006/relationships/hyperlink" Target="https://www.rekenkamer.nl/site/binaries/site-content/collections/documents/2025/09/23/aandachtspunten-bij-de-ontwerpbegroting-2026-van-het-ministerie-van-justitie-en-veiligheid/Brief+JenV+PAC24.pdf" TargetMode="External"/><Relationship Id="rId54" Type="http://schemas.openxmlformats.org/officeDocument/2006/relationships/hyperlink" Target="https://www.rijksfinancien.nl/voorjaarsnota/2026" TargetMode="External"/><Relationship Id="rId62" Type="http://schemas.openxmlformats.org/officeDocument/2006/relationships/hyperlink" Target="https://open.overheid.nl/documenten/1c7f0d59-dbab-485e-acba-7aac33db6277/file" TargetMode="External"/><Relationship Id="rId70" Type="http://schemas.openxmlformats.org/officeDocument/2006/relationships/hyperlink" Target="https://www.om.nl/actueel/nieuws/2026/05/27/reactie-openbaar-ministerie-op-rapport-procureur-generaal-hoge-raad" TargetMode="External"/><Relationship Id="rId75" Type="http://schemas.openxmlformats.org/officeDocument/2006/relationships/hyperlink" Target="https://skc-oc.nl/nieuwe-themastudie-criminele-inmenging/" TargetMode="External"/><Relationship Id="rId83" Type="http://schemas.openxmlformats.org/officeDocument/2006/relationships/hyperlink" Target="https://www.tweedekamer.nl/kamerstukken/wetsvoorstellen/detail?qry=wetsvoorstel%3A36742&amp;cfg=wetsvoorsteldet" TargetMode="External"/><Relationship Id="rId88" Type="http://schemas.openxmlformats.org/officeDocument/2006/relationships/hyperlink" Target="https://www.eerstekamer.nl/9370000/1/j9vvkfvj6b325az/vmssro220add/f=y.pdf" TargetMode="External"/><Relationship Id="rId91" Type="http://schemas.openxmlformats.org/officeDocument/2006/relationships/header" Target="header4.xml"/><Relationship Id="rId96"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image" Target="media/image1.emf"/><Relationship Id="rId23" Type="http://schemas.openxmlformats.org/officeDocument/2006/relationships/hyperlink" Target="https://cmpf.eui.eu/projects/media-pluralism-monitor/" TargetMode="External"/><Relationship Id="rId28" Type="http://schemas.openxmlformats.org/officeDocument/2006/relationships/hyperlink" Target="https://www.kabinetsformatie2025.nl/documenten/2026/01/30/budgettaire-tabel-en-bijlage-bij-coalitieakkoord-aan-de-slag" TargetMode="External"/><Relationship Id="rId36" Type="http://schemas.openxmlformats.org/officeDocument/2006/relationships/hyperlink" Target="https://search.coe.int/cm?i=09000016804d0fc8" TargetMode="External"/><Relationship Id="rId49" Type="http://schemas.openxmlformats.org/officeDocument/2006/relationships/hyperlink" Target="https://www.overheidsawards.nl/overheidsinnovatie/finalistenoivhj-2023-2/" TargetMode="External"/><Relationship Id="rId57" Type="http://schemas.openxmlformats.org/officeDocument/2006/relationships/hyperlink" Target="https://www.nationaleombudsman.nl/nieuws/nieuwsbericht/2026/ombudsman-proactieve-overheid-nodig-om-vertrouwen-te-herstellen" TargetMode="External"/><Relationship Id="rId10" Type="http://schemas.openxmlformats.org/officeDocument/2006/relationships/styles" Target="styles.xml"/><Relationship Id="rId31" Type="http://schemas.openxmlformats.org/officeDocument/2006/relationships/hyperlink" Target="https://www.rechtspraak.nl/binaries/_rts_1768901819918/content/assets/rvdr/jd/rvdr-jd-jaarplan-van-de-rechtspraak-2026.pdf" TargetMode="External"/><Relationship Id="rId44" Type="http://schemas.openxmlformats.org/officeDocument/2006/relationships/hyperlink" Target="https://www.cvdm.nl/nieuws/meerjarenstrategie-2025-2030-toezicht-met-maatschappelijke-impact/" TargetMode="External"/><Relationship Id="rId52" Type="http://schemas.openxmlformats.org/officeDocument/2006/relationships/hyperlink" Target="https://nvj.nl/_assets/f/291561/x/03788d3456/brief-minister-letschert-en-van-weel-inzake-veiligheid-van-journalisten.pdf" TargetMode="External"/><Relationship Id="rId60" Type="http://schemas.openxmlformats.org/officeDocument/2006/relationships/hyperlink" Target="https://www.rijksoverheid.nl/documenten/kamerstukken/2026/01/12/tk-reactie-op-de-motie-mutluer-c-s" TargetMode="External"/><Relationship Id="rId65" Type="http://schemas.openxmlformats.org/officeDocument/2006/relationships/hyperlink" Target="https://publicaties.mensenrechten.nl/publicatie/8430ccdb-3e60-4786-8b01-0befb6f2e665" TargetMode="External"/><Relationship Id="rId73" Type="http://schemas.openxmlformats.org/officeDocument/2006/relationships/hyperlink" Target="https://repository.wodc.nl/entities/publication/b5ae9f76-7496-4438-93dc-e77b0c1da791" TargetMode="External"/><Relationship Id="rId78" Type="http://schemas.openxmlformats.org/officeDocument/2006/relationships/hyperlink" Target="https://deeplink.rechtspraak.nl/uitspraak?id=ECLI:NL:HR:2025:902" TargetMode="External"/><Relationship Id="rId81" Type="http://schemas.openxmlformats.org/officeDocument/2006/relationships/hyperlink" Target="https://www.tweedekamer.nl/kamerstukken/kamervragen/detail?id=2026Z05355&amp;did=2026D12297" TargetMode="External"/><Relationship Id="rId86" Type="http://schemas.openxmlformats.org/officeDocument/2006/relationships/hyperlink" Target="https://www.tweedekamer.nl/kamerleden_en_commissies/commissies/tcgct" TargetMode="External"/><Relationship Id="rId94"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numbering" Target="numbering.xml"/><Relationship Id="rId13" Type="http://schemas.openxmlformats.org/officeDocument/2006/relationships/footnotes" Target="footnotes.xml"/><Relationship Id="rId18" Type="http://schemas.openxmlformats.org/officeDocument/2006/relationships/footer" Target="footer1.xml"/><Relationship Id="rId39" Type="http://schemas.openxmlformats.org/officeDocument/2006/relationships/hyperlink" Target="https://zoek.officielebekendmakingen.nl/blg-953721.pd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tweedekamer.nl/debat_en_vergadering/plenaire_vergaderingen/details/activiteit?id=2025A07630" TargetMode="External"/><Relationship Id="rId2" Type="http://schemas.openxmlformats.org/officeDocument/2006/relationships/hyperlink" Target="https://wetgevingskalender.overheid.nl/Regeling/WGK026657" TargetMode="External"/><Relationship Id="rId1" Type="http://schemas.openxmlformats.org/officeDocument/2006/relationships/hyperlink" Target="https://commission.europa.eu/document/c19f24ea-0362-4375-9edf-9665fddbc6af_en" TargetMode="External"/><Relationship Id="rId4" Type="http://schemas.openxmlformats.org/officeDocument/2006/relationships/hyperlink" Target="https://www.coe.int/en/web/execution/the-supervision-proce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 to know' basis - Do not read or carry openly in public places. Must be stored securely and encrypted in storage and transmission. Destroy copies by shredding or secure deletion. Full handling instructions: </SensitiveHandling>
  <Table>Table </Table>
  <NoteCopy>c.c.:</NoteCopy>
  <NoteCopies>c.c.:</NoteCopies>
  <MarkingUntilText>UNTIL</MarkingUntilText>
  <OrgaRoot>EUROPEAN COMMISSION</OrgaRoot>
  <SecurityPharma>Pharma Investigations</SecurityPharma>
  <ClimaSensitive>CLIMA</ClimaSensitive>
  <SecurityEmbargo>EMBARGO UNTIL</SecurityEmbargo>
  <NoteHead>Note for the attention of</NoteHead>
  <NoteFile>Note for the File</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SecurityPharmaSpecial>Pharma Investigations</SecurityPharmaSpecial>
  <SpecialHandlingFootnote>Special handling instructions are given at </SpecialHandlingFootnote>
  <PharmaHandlingInstructions>{field:HYPERLINK "https://myintracomm.ec.europa.eu/corp/security/EN/newDS3/SensitiveInformation/Pages/SPECIAL-HANDLING-INFORMATION-Pharma-investigations.aspx?ln=en" |https://myintracomm.ec.europa.eu/corp/security/EN/newDS3/SensitiveInformation/Pages/SPECIAL-HANDLING-INFORMATION-Pharma-investigations.aspx?ln=en}</PharmaHandlingInstructions>
  <SpecialHandlingLabel>Special Handling</SpecialHandlingLabel>
  <TOCHeading>Table of Contents</TOCHeading>
  <NoteSubject>Subject:</NoteSubject>
  <CLIMAfootnotetext>{field:HYPERLINK "https://myintracomm.ec.europa.eu/corp/security/EN/newDS3/SensitiveInformation/Pages/SPECIAL-HANDLING-INFORMATION-DG-CLIMA.aspx?ln=en" |https://myintracomm.ec.europa.eu/corp/security/EN/newDS3/SensitiveInformation/Pages/SPECIAL-HANDLING-INFORMATION-DG-CLIMA.aspx?ln=en}</CLIMAfootnotetext>
  <SpecialHandlingClima>CLIMA</SpecialHandlingClima>
  <AddressFooterBrussels>Commission européenne/Europese Commissie, 1049 Bruxelles/Brussel, BELGIQUE/BELGIË - Tel. +32 22991111</AddressFooterBrussels>
  <AddresseeTo>To:</AddresseeTo>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HandlingInstructions>{field:HYPERLINK "https://myintracomm.ec.europa.eu/corp/security/EN/newDS3/SensitiveInformation/Pages/SPECIAL-HANDLING-INFORMATION-OLAF-Investigations.aspx?ln=en" |https://myintracomm.ec.europa.eu/corp/security/EN/newDS3/SensitiveInformation/Pages/SPECIAL-HANDLING-INFORMATION-OLAF-Investigations.aspx?ln=en}</OLAFHandlingInstructions>
  <SecurityOlafSpecialHandling>OLAF Investigations</SecurityOlafSpecialHandling>
  <SecurityCompSpecial>COMP</SecurityCompSpecial>
  <COMPFootnoteText>{field:HYPERLINK "https://myintracomm.ec.europa.eu/corp/security/EN/newDS3/SensitiveInformation/Pages/SPECIAL-HANDLING-INFORMATION-DG-COMP.aspx?ln=en" |https://myintracomm.ec.europa.eu/corp/security/EN/newDS3/SensitiveInformation/Pages/SPECIAL-HANDLING-INFORMATION-DG-COMP.aspx?ln=en}</COMPFootnoteText>
  <DateFormatShort>dd/MM/yyyy</DateFormatShort>
  <DateFormatLong>d MMMM yyyy</DateFormatLong>
</Texts>
</file>

<file path=customXml/item3.xml><?xml version="1.0" encoding="utf-8"?>
<Author AuthorRoleName="Writer" AuthorRoleId="a4fbaff4-b07c-48b4-a21e-e7b9eedf3796">
  <Id>f7db4a93-f1b7-477d-ad87-2e49206c40e6</Id>
  <Names>
    <Latin>
      <FirstName>Ilze</FirstName>
      <LastName>JUHANSONE</LastName>
    </Latin>
    <Greek>
      <FirstName/>
      <LastName/>
    </Greek>
    <Cyrillic>
      <FirstName/>
      <LastName/>
    </Cyrillic>
    <DocumentScript>
      <FirstName>Ilze</FirstName>
      <LastName>JUHANSONE</LastName>
      <FullName>Ilze JUHANSONE</FullName>
    </DocumentScript>
  </Names>
  <Initials>IJ</Initials>
  <Gender>f</Gender>
  <Email>Ilze.JUHANSONE@ec.europa.eu</Email>
  <Service>SG</Service>
  <Function ADCode="33" ShowInSignature="false" ShowInHeader="true" HeaderText="The Secretary-General">Secretary-General</Function>
  <WebAddress/>
  <InheritedWebAddress>WebAddress</InheritedWebAddress>
  <OrgaEntity1>
    <Id>dfeba4c5-4fee-4c38-9a3a-bbd8394ad370</Id>
    <LogicalLevel>1</LogicalLevel>
    <Name>SG</Name>
    <HeadLine1>SECRETARIAT-GENERAL</HeadLine1>
    <HeadLine2/>
    <PrimaryAddressId>f03b5801-04c9-4931-aa17-c6d6c70bc579</PrimaryAddressId>
    <SecondaryAddressId/>
    <WebAddress>WebAddress</WebAddress>
    <InheritedWebAddress>WebAddress</InheritedWebAddress>
    <ShowInHeader>true</ShowInHeader>
  </OrgaEntity1>
  <OrgaEntity2/>
  <OrgaEntity3>
    <Id>d8dbc9ce-639d-498d-8fa0-77f64980bebb</Id>
    <LogicalLevel>3</LogicalLevel>
    <Name>SG</Name>
    <HeadLine1>The Secretary-General</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+32 22980179</Phone>
    <Office>BERL 13/210</Office>
  </MainWorkplace>
  <Workplaces>
    <Workplace IsMain="false">
      <AddressId>1264fb81-f6bb-475e-9f9d-a937d3be6ee2</AddressId>
      <Fax/>
      <Phone/>
      <Office/>
    </Workplace>
    <Workplace IsMain="true">
      <AddressId>f03b5801-04c9-4931-aa17-c6d6c70bc579</AddressId>
      <Fax/>
      <Phone>+32 22980179</Phone>
      <Office>BERL 13/210</Office>
    </Workplace>
  </Workplaces>
</Author>
</file>

<file path=customXml/item4.xml><?xml version="1.0" encoding="utf-8"?>
<Author Role="Creator" AuthorRoleName="Signatory" AuthorRoleId="dd422d74-d41f-4095-8cb8-8304a90a6b0c">
  <Id>f7db4a93-f1b7-477d-ad87-2e49206c40e6</Id>
  <Names>
    <Latin>
      <FirstName>Ilze</FirstName>
      <LastName>JUHANSONE</LastName>
    </Latin>
    <Greek>
      <FirstName/>
      <LastName/>
    </Greek>
    <Cyrillic>
      <FirstName/>
      <LastName/>
    </Cyrillic>
    <DocumentScript>
      <FirstName>Ilze</FirstName>
      <LastName>JUHANSONE</LastName>
      <FullName>Ilze JUHANSONE</FullName>
    </DocumentScript>
  </Names>
  <Initials>IJ</Initials>
  <Gender>f</Gender>
  <Email>Ilze.JUHANSONE@ec.europa.eu</Email>
  <Service>SG</Service>
  <Function ADCode="33" ShowInSignature="false" ShowInHeader="true" HeaderText="The Secretary-General">Secretary-General</Function>
  <WebAddress/>
  <InheritedWebAddress>WebAddress</InheritedWebAddress>
  <OrgaEntity1>
    <Id>dfeba4c5-4fee-4c38-9a3a-bbd8394ad370</Id>
    <LogicalLevel>1</LogicalLevel>
    <Name>SG</Name>
    <HeadLine1>SECRETARIAT-GENERAL</HeadLine1>
    <HeadLine2/>
    <PrimaryAddressId>f03b5801-04c9-4931-aa17-c6d6c70bc579</PrimaryAddressId>
    <SecondaryAddressId/>
    <WebAddress>WebAddress</WebAddress>
    <InheritedWebAddress>WebAddress</InheritedWebAddress>
    <ShowInHeader>true</ShowInHeader>
  </OrgaEntity1>
  <OrgaEntity2/>
  <OrgaEntity3>
    <Id>d8dbc9ce-639d-498d-8fa0-77f64980bebb</Id>
    <LogicalLevel>3</LogicalLevel>
    <Name>SG</Name>
    <HeadLine1>The Secretary-General</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+32 22980179</Phone>
    <Office>BERL 13/210</Office>
  </MainWorkplace>
  <Workplaces>
    <Workplace IsMain="false">
      <AddressId>1264fb81-f6bb-475e-9f9d-a937d3be6ee2</AddressId>
      <Fax/>
      <Phone/>
      <Office/>
    </Workplace>
    <Workplace IsMain="true">
      <AddressId>f03b5801-04c9-4931-aa17-c6d6c70bc579</AddressId>
      <Fax/>
      <Phone>+32 22980179</Phone>
      <Office>BERL 13/210</Office>
    </Workplace>
  </Workplaces>
</Author>
</file>

<file path=customXml/item5.xml><?xml version="1.0" encoding="utf-8"?>
<EurolookProperties>
  <ProductCustomizationId>EC</ProductCustomizationId>
  <Created>
    <Version>10.0.41212.0</Version>
    <Date>2020-11-24T17:06:29</Date>
    <Language>EN</Language>
    <Note/>
  </Created>
  <Edited>
    <Version>10.0.42447.0</Version>
    <Date>2021-06-17T15:00:18</Date>
  </Edited>
  <DocumentModel>
    <Id>0b054141-88b1-4efb-8c91-2905cb0bed6c</Id>
    <Name>Note</Name>
  </DocumentModel>
  <DocumentDate>2020-11-24T17:06:29</DocumentDate>
  <DocumentVersion>0.1</DocumentVersion>
  <CompatibilityMode>Eurolook10</CompatibilityMode>
  <DocumentMetadata>
    <EC_SecurityDateMarking MetadataSerializationType="SimpleValue"/>
    <EC_SecurityDistributionSpecialHandling MetadataSerializationType="SimpleValue"/>
    <EC_SecurityMarking MetadataSerializationType="SimpleValue"/>
    <EC_SecurityDistributionSensitive MetadataSerializationType="SimpleValue"/>
    <EC_SecurityDistributionDG MetadataSerializationType="SimpleValue"/>
    <EC_SecurityDateMarkingDate MetadataSerializationType="SimpleValue"/>
    <EC_SecurityReleasability MetadataSerializationType="SimpleValue"/>
    <EC_SecurityDateMarkingEvent MetadataSerializationType="SimpleValue"/>
    <EC_SecurityDistributionWorkingGroup MetadataSerializationType="SimpleValue"/>
  </DocumentMetadata>
</Eurolook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ct:contentTypeSchema xmlns:ct="http://schemas.microsoft.com/office/2006/metadata/contentType" xmlns:ma="http://schemas.microsoft.com/office/2006/metadata/properties/metaAttributes" ct:_="" ma:_="" ma:contentTypeName="Dokument" ma:contentTypeID="0x010100CD92FCBF67B53A4EB1060DF04C43C986" ma:contentTypeVersion="3" ma:contentTypeDescription="Ein neues Dokument erstellen." ma:contentTypeScope="" ma:versionID="07716f95fc6075d044421444eb3b8a4c">
  <xsd:schema xmlns:xsd="http://www.w3.org/2001/XMLSchema" xmlns:xs="http://www.w3.org/2001/XMLSchema" xmlns:p="http://schemas.microsoft.com/office/2006/metadata/properties" xmlns:ns2="ffa05dec-e383-4a36-a526-3e8014669239" targetNamespace="http://schemas.microsoft.com/office/2006/metadata/properties" ma:root="true" ma:fieldsID="0d006ffd7e2ada4e5879ef3f2a12a0e9" ns2:_="">
    <xsd:import namespace="ffa05dec-e383-4a36-a526-3e801466923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a05dec-e383-4a36-a526-3e80146692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117B5F-255C-41F3-A9E3-343258E3AFB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EF90DE6-88B6-4264-9629-4D8DFDFE87D2}">
  <ds:schemaRefs/>
</ds:datastoreItem>
</file>

<file path=customXml/itemProps3.xml><?xml version="1.0" encoding="utf-8"?>
<ds:datastoreItem xmlns:ds="http://schemas.openxmlformats.org/officeDocument/2006/customXml" ds:itemID="{85DEDC53-A93E-4ADB-9EC2-F69334C80BD2}">
  <ds:schemaRefs/>
</ds:datastoreItem>
</file>

<file path=customXml/itemProps4.xml><?xml version="1.0" encoding="utf-8"?>
<ds:datastoreItem xmlns:ds="http://schemas.openxmlformats.org/officeDocument/2006/customXml" ds:itemID="{5799BB7C-547C-4C15-B61E-BE0A69226E01}">
  <ds:schemaRefs/>
</ds:datastoreItem>
</file>

<file path=customXml/itemProps5.xml><?xml version="1.0" encoding="utf-8"?>
<ds:datastoreItem xmlns:ds="http://schemas.openxmlformats.org/officeDocument/2006/customXml" ds:itemID="{D3EA5527-7367-4268-9D83-5125C98D0ED2}">
  <ds:schemaRefs/>
</ds:datastoreItem>
</file>

<file path=customXml/itemProps6.xml><?xml version="1.0" encoding="utf-8"?>
<ds:datastoreItem xmlns:ds="http://schemas.openxmlformats.org/officeDocument/2006/customXml" ds:itemID="{44605634-B297-4037-B95A-4EE583B1599D}">
  <ds:schemaRefs>
    <ds:schemaRef ds:uri="http://schemas.microsoft.com/sharepoint/v3/contenttype/forms"/>
  </ds:schemaRefs>
</ds:datastoreItem>
</file>

<file path=customXml/itemProps7.xml><?xml version="1.0" encoding="utf-8"?>
<ds:datastoreItem xmlns:ds="http://schemas.openxmlformats.org/officeDocument/2006/customXml" ds:itemID="{6BAADCFA-032D-402C-9AAB-47C3DB95EA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a05dec-e383-4a36-a526-3e80146692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8.xml><?xml version="1.0" encoding="utf-8"?>
<ds:datastoreItem xmlns:ds="http://schemas.openxmlformats.org/officeDocument/2006/customXml" ds:itemID="{D825D917-644B-413E-BCA8-61C279AF9B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10988</Words>
  <Characters>62637</Characters>
  <Application>Microsoft Office Word</Application>
  <DocSecurity>0</DocSecurity>
  <PresentationFormat>Microsoft Word 14.0</PresentationFormat>
  <Lines>521</Lines>
  <Paragraphs>146</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73479</CharactersWithSpaces>
  <SharedDoc>false</SharedDoc>
  <HLinks>
    <vt:vector size="474" baseType="variant">
      <vt:variant>
        <vt:i4>5832711</vt:i4>
      </vt:variant>
      <vt:variant>
        <vt:i4>243</vt:i4>
      </vt:variant>
      <vt:variant>
        <vt:i4>0</vt:i4>
      </vt:variant>
      <vt:variant>
        <vt:i4>5</vt:i4>
      </vt:variant>
      <vt:variant>
        <vt:lpwstr>https://www.venice.coe.int/webforms/documents/default.aspx?pdffile=CDL-AD(2013)038-e</vt:lpwstr>
      </vt:variant>
      <vt:variant>
        <vt:lpwstr/>
      </vt:variant>
      <vt:variant>
        <vt:i4>1179734</vt:i4>
      </vt:variant>
      <vt:variant>
        <vt:i4>240</vt:i4>
      </vt:variant>
      <vt:variant>
        <vt:i4>0</vt:i4>
      </vt:variant>
      <vt:variant>
        <vt:i4>5</vt:i4>
      </vt:variant>
      <vt:variant>
        <vt:lpwstr>https://www.coe.int/en/web/venice-commission/-/cdl-ad-2023-029-e</vt:lpwstr>
      </vt:variant>
      <vt:variant>
        <vt:lpwstr/>
      </vt:variant>
      <vt:variant>
        <vt:i4>6291548</vt:i4>
      </vt:variant>
      <vt:variant>
        <vt:i4>237</vt:i4>
      </vt:variant>
      <vt:variant>
        <vt:i4>0</vt:i4>
      </vt:variant>
      <vt:variant>
        <vt:i4>5</vt:i4>
      </vt:variant>
      <vt:variant>
        <vt:lpwstr>https://www.tweedekamer.nl/kamerstukken/brieven_regering/detail?id=2025Z22604&amp;did=2025D53704</vt:lpwstr>
      </vt:variant>
      <vt:variant>
        <vt:lpwstr/>
      </vt:variant>
      <vt:variant>
        <vt:i4>4194385</vt:i4>
      </vt:variant>
      <vt:variant>
        <vt:i4>234</vt:i4>
      </vt:variant>
      <vt:variant>
        <vt:i4>0</vt:i4>
      </vt:variant>
      <vt:variant>
        <vt:i4>5</vt:i4>
      </vt:variant>
      <vt:variant>
        <vt:lpwstr>https://www.eerstekamer.nl/9370000/1/j9vvkfvj6b325az/vmssro220add/f=y.pdf</vt:lpwstr>
      </vt:variant>
      <vt:variant>
        <vt:lpwstr/>
      </vt:variant>
      <vt:variant>
        <vt:i4>6488155</vt:i4>
      </vt:variant>
      <vt:variant>
        <vt:i4>231</vt:i4>
      </vt:variant>
      <vt:variant>
        <vt:i4>0</vt:i4>
      </vt:variant>
      <vt:variant>
        <vt:i4>5</vt:i4>
      </vt:variant>
      <vt:variant>
        <vt:lpwstr>https://www.tweedekamer.nl/kamerstukken/brieven_regering/detail?id=2025Z16894&amp;did=2025D39209</vt:lpwstr>
      </vt:variant>
      <vt:variant>
        <vt:lpwstr/>
      </vt:variant>
      <vt:variant>
        <vt:i4>7209069</vt:i4>
      </vt:variant>
      <vt:variant>
        <vt:i4>228</vt:i4>
      </vt:variant>
      <vt:variant>
        <vt:i4>0</vt:i4>
      </vt:variant>
      <vt:variant>
        <vt:i4>5</vt:i4>
      </vt:variant>
      <vt:variant>
        <vt:lpwstr>https://www.tweedekamer.nl/kamerleden_en_commissies/commissies/tcgct</vt:lpwstr>
      </vt:variant>
      <vt:variant>
        <vt:lpwstr/>
      </vt:variant>
      <vt:variant>
        <vt:i4>6684759</vt:i4>
      </vt:variant>
      <vt:variant>
        <vt:i4>225</vt:i4>
      </vt:variant>
      <vt:variant>
        <vt:i4>0</vt:i4>
      </vt:variant>
      <vt:variant>
        <vt:i4>5</vt:i4>
      </vt:variant>
      <vt:variant>
        <vt:lpwstr>https://www.tweedekamer.nl/kamerstukken/brieven_regering/detail?id=2026Z11752&amp;did=2026D26790</vt:lpwstr>
      </vt:variant>
      <vt:variant>
        <vt:lpwstr/>
      </vt:variant>
      <vt:variant>
        <vt:i4>6357084</vt:i4>
      </vt:variant>
      <vt:variant>
        <vt:i4>222</vt:i4>
      </vt:variant>
      <vt:variant>
        <vt:i4>0</vt:i4>
      </vt:variant>
      <vt:variant>
        <vt:i4>5</vt:i4>
      </vt:variant>
      <vt:variant>
        <vt:lpwstr>https://www.tweedekamer.nl/kamerstukken/brieven_regering/detail?id=2026Z10999&amp;did=2026D24954</vt:lpwstr>
      </vt:variant>
      <vt:variant>
        <vt:lpwstr/>
      </vt:variant>
      <vt:variant>
        <vt:i4>2097274</vt:i4>
      </vt:variant>
      <vt:variant>
        <vt:i4>219</vt:i4>
      </vt:variant>
      <vt:variant>
        <vt:i4>0</vt:i4>
      </vt:variant>
      <vt:variant>
        <vt:i4>5</vt:i4>
      </vt:variant>
      <vt:variant>
        <vt:lpwstr>https://www.tweedekamer.nl/kamerstukken/wetsvoorstellen/detail?qry=wetsvoorstel%3A36742&amp;cfg=wetsvoorsteldet</vt:lpwstr>
      </vt:variant>
      <vt:variant>
        <vt:lpwstr/>
      </vt:variant>
      <vt:variant>
        <vt:i4>6619230</vt:i4>
      </vt:variant>
      <vt:variant>
        <vt:i4>216</vt:i4>
      </vt:variant>
      <vt:variant>
        <vt:i4>0</vt:i4>
      </vt:variant>
      <vt:variant>
        <vt:i4>5</vt:i4>
      </vt:variant>
      <vt:variant>
        <vt:lpwstr>https://www.tweedekamer.nl/kamerstukken/brieven_regering/detail?id=2026Z06645&amp;did=2026D15041</vt:lpwstr>
      </vt:variant>
      <vt:variant>
        <vt:lpwstr/>
      </vt:variant>
      <vt:variant>
        <vt:i4>6422567</vt:i4>
      </vt:variant>
      <vt:variant>
        <vt:i4>213</vt:i4>
      </vt:variant>
      <vt:variant>
        <vt:i4>0</vt:i4>
      </vt:variant>
      <vt:variant>
        <vt:i4>5</vt:i4>
      </vt:variant>
      <vt:variant>
        <vt:lpwstr>https://www.tweedekamer.nl/kamerstukken/kamervragen/detail?id=2026Z05355&amp;did=2026D12297</vt:lpwstr>
      </vt:variant>
      <vt:variant>
        <vt:lpwstr/>
      </vt:variant>
      <vt:variant>
        <vt:i4>4587541</vt:i4>
      </vt:variant>
      <vt:variant>
        <vt:i4>210</vt:i4>
      </vt:variant>
      <vt:variant>
        <vt:i4>0</vt:i4>
      </vt:variant>
      <vt:variant>
        <vt:i4>5</vt:i4>
      </vt:variant>
      <vt:variant>
        <vt:lpwstr>https://www.tweedekamer.nl/kamerstukken/kamervragen/detail?id=2026Z03080&amp;did=2026D06913.</vt:lpwstr>
      </vt:variant>
      <vt:variant>
        <vt:lpwstr/>
      </vt:variant>
      <vt:variant>
        <vt:i4>6357038</vt:i4>
      </vt:variant>
      <vt:variant>
        <vt:i4>207</vt:i4>
      </vt:variant>
      <vt:variant>
        <vt:i4>0</vt:i4>
      </vt:variant>
      <vt:variant>
        <vt:i4>5</vt:i4>
      </vt:variant>
      <vt:variant>
        <vt:lpwstr>https://www.transparency.nl/nieuws/2026/03/eerste-reactie-ti-nl-op-het-coalitieakkoord-van-d66-vvd-en-cda/</vt:lpwstr>
      </vt:variant>
      <vt:variant>
        <vt:lpwstr/>
      </vt:variant>
      <vt:variant>
        <vt:i4>589899</vt:i4>
      </vt:variant>
      <vt:variant>
        <vt:i4>204</vt:i4>
      </vt:variant>
      <vt:variant>
        <vt:i4>0</vt:i4>
      </vt:variant>
      <vt:variant>
        <vt:i4>5</vt:i4>
      </vt:variant>
      <vt:variant>
        <vt:lpwstr>https://deeplink.rechtspraak.nl/uitspraak?id=ECLI:NL:HR:2025:902</vt:lpwstr>
      </vt:variant>
      <vt:variant>
        <vt:lpwstr/>
      </vt:variant>
      <vt:variant>
        <vt:i4>1376350</vt:i4>
      </vt:variant>
      <vt:variant>
        <vt:i4>201</vt:i4>
      </vt:variant>
      <vt:variant>
        <vt:i4>0</vt:i4>
      </vt:variant>
      <vt:variant>
        <vt:i4>5</vt:i4>
      </vt:variant>
      <vt:variant>
        <vt:lpwstr>https://www.hogeraad.nl/actueel/nieuwsoverzicht/2026/mei/resultaten-vervolgonderzoek-strafbeschikking-aangeboden/</vt:lpwstr>
      </vt:variant>
      <vt:variant>
        <vt:lpwstr/>
      </vt:variant>
      <vt:variant>
        <vt:i4>3473512</vt:i4>
      </vt:variant>
      <vt:variant>
        <vt:i4>198</vt:i4>
      </vt:variant>
      <vt:variant>
        <vt:i4>0</vt:i4>
      </vt:variant>
      <vt:variant>
        <vt:i4>5</vt:i4>
      </vt:variant>
      <vt:variant>
        <vt:lpwstr>https://www.hogeraad.nl/actueel/nieuwsoverzicht/2025/maart/vervolgonderzoek-pg-hoge-raad-strafbeschikking/</vt:lpwstr>
      </vt:variant>
      <vt:variant>
        <vt:lpwstr/>
      </vt:variant>
      <vt:variant>
        <vt:i4>917593</vt:i4>
      </vt:variant>
      <vt:variant>
        <vt:i4>195</vt:i4>
      </vt:variant>
      <vt:variant>
        <vt:i4>0</vt:i4>
      </vt:variant>
      <vt:variant>
        <vt:i4>5</vt:i4>
      </vt:variant>
      <vt:variant>
        <vt:lpwstr>https://skc-oc.nl/nieuwe-themastudie-criminele-inmenging/</vt:lpwstr>
      </vt:variant>
      <vt:variant>
        <vt:lpwstr/>
      </vt:variant>
      <vt:variant>
        <vt:i4>3145842</vt:i4>
      </vt:variant>
      <vt:variant>
        <vt:i4>192</vt:i4>
      </vt:variant>
      <vt:variant>
        <vt:i4>0</vt:i4>
      </vt:variant>
      <vt:variant>
        <vt:i4>5</vt:i4>
      </vt:variant>
      <vt:variant>
        <vt:lpwstr>https://www.wodc.nl/actueel/nieuws/2025/12/11/aanpassing-wetten-rond-demonstratierecht-niet-nodig-en-niet-effectief</vt:lpwstr>
      </vt:variant>
      <vt:variant>
        <vt:lpwstr/>
      </vt:variant>
      <vt:variant>
        <vt:i4>6225927</vt:i4>
      </vt:variant>
      <vt:variant>
        <vt:i4>189</vt:i4>
      </vt:variant>
      <vt:variant>
        <vt:i4>0</vt:i4>
      </vt:variant>
      <vt:variant>
        <vt:i4>5</vt:i4>
      </vt:variant>
      <vt:variant>
        <vt:lpwstr>https://repository.wodc.nl/entities/publication/b5ae9f76-7496-4438-93dc-e77b0c1da791</vt:lpwstr>
      </vt:variant>
      <vt:variant>
        <vt:lpwstr/>
      </vt:variant>
      <vt:variant>
        <vt:i4>8323117</vt:i4>
      </vt:variant>
      <vt:variant>
        <vt:i4>186</vt:i4>
      </vt:variant>
      <vt:variant>
        <vt:i4>0</vt:i4>
      </vt:variant>
      <vt:variant>
        <vt:i4>5</vt:i4>
      </vt:variant>
      <vt:variant>
        <vt:lpwstr>https://repository.wodc.nl/handle/20.500.12832/3521</vt:lpwstr>
      </vt:variant>
      <vt:variant>
        <vt:lpwstr/>
      </vt:variant>
      <vt:variant>
        <vt:i4>2621480</vt:i4>
      </vt:variant>
      <vt:variant>
        <vt:i4>180</vt:i4>
      </vt:variant>
      <vt:variant>
        <vt:i4>0</vt:i4>
      </vt:variant>
      <vt:variant>
        <vt:i4>5</vt:i4>
      </vt:variant>
      <vt:variant>
        <vt:lpwstr>https://www.om.nl/actueel/nieuws/2025/08/04/om-gaat-stapsgewijs-online</vt:lpwstr>
      </vt:variant>
      <vt:variant>
        <vt:lpwstr/>
      </vt:variant>
      <vt:variant>
        <vt:i4>7602224</vt:i4>
      </vt:variant>
      <vt:variant>
        <vt:i4>177</vt:i4>
      </vt:variant>
      <vt:variant>
        <vt:i4>0</vt:i4>
      </vt:variant>
      <vt:variant>
        <vt:i4>5</vt:i4>
      </vt:variant>
      <vt:variant>
        <vt:lpwstr>https://www.om.nl/actueel/nieuws/2026/05/27/reactie-openbaar-ministerie-op-rapport-procureur-generaal-hoge-raad</vt:lpwstr>
      </vt:variant>
      <vt:variant>
        <vt:lpwstr/>
      </vt:variant>
      <vt:variant>
        <vt:i4>7733311</vt:i4>
      </vt:variant>
      <vt:variant>
        <vt:i4>174</vt:i4>
      </vt:variant>
      <vt:variant>
        <vt:i4>0</vt:i4>
      </vt:variant>
      <vt:variant>
        <vt:i4>5</vt:i4>
      </vt:variant>
      <vt:variant>
        <vt:lpwstr>https://www.om.nl/actueel/magazines/jaarbericht/2025/01</vt:lpwstr>
      </vt:variant>
      <vt:variant>
        <vt:lpwstr/>
      </vt:variant>
      <vt:variant>
        <vt:i4>524359</vt:i4>
      </vt:variant>
      <vt:variant>
        <vt:i4>168</vt:i4>
      </vt:variant>
      <vt:variant>
        <vt:i4>0</vt:i4>
      </vt:variant>
      <vt:variant>
        <vt:i4>5</vt:i4>
      </vt:variant>
      <vt:variant>
        <vt:lpwstr>https://rvdj.nl/assets/uploads/2025/07/Raad-voor-de-Journalistiek-Jaarverslag-2024-V5.pdf</vt:lpwstr>
      </vt:variant>
      <vt:variant>
        <vt:lpwstr/>
      </vt:variant>
      <vt:variant>
        <vt:i4>1441865</vt:i4>
      </vt:variant>
      <vt:variant>
        <vt:i4>165</vt:i4>
      </vt:variant>
      <vt:variant>
        <vt:i4>0</vt:i4>
      </vt:variant>
      <vt:variant>
        <vt:i4>5</vt:i4>
      </vt:variant>
      <vt:variant>
        <vt:lpwstr>https://nos.nl/artikel/2591625-rechten-burgers-vaker-ingeperkt-met-noodmaatregelen-soms-langdurig</vt:lpwstr>
      </vt:variant>
      <vt:variant>
        <vt:lpwstr/>
      </vt:variant>
      <vt:variant>
        <vt:i4>5963868</vt:i4>
      </vt:variant>
      <vt:variant>
        <vt:i4>162</vt:i4>
      </vt:variant>
      <vt:variant>
        <vt:i4>0</vt:i4>
      </vt:variant>
      <vt:variant>
        <vt:i4>5</vt:i4>
      </vt:variant>
      <vt:variant>
        <vt:lpwstr>https://publicaties.mensenrechten.nl/publicatie/e5a0bc5d-31a6-4e7f-a14e-12576a8f1fcc</vt:lpwstr>
      </vt:variant>
      <vt:variant>
        <vt:lpwstr/>
      </vt:variant>
      <vt:variant>
        <vt:i4>5242883</vt:i4>
      </vt:variant>
      <vt:variant>
        <vt:i4>159</vt:i4>
      </vt:variant>
      <vt:variant>
        <vt:i4>0</vt:i4>
      </vt:variant>
      <vt:variant>
        <vt:i4>5</vt:i4>
      </vt:variant>
      <vt:variant>
        <vt:lpwstr>https://publicaties.mensenrechten.nl/publicatie/8430ccdb-3e60-4786-8b01-0befb6f2e665</vt:lpwstr>
      </vt:variant>
      <vt:variant>
        <vt:lpwstr/>
      </vt:variant>
      <vt:variant>
        <vt:i4>3211391</vt:i4>
      </vt:variant>
      <vt:variant>
        <vt:i4>156</vt:i4>
      </vt:variant>
      <vt:variant>
        <vt:i4>0</vt:i4>
      </vt:variant>
      <vt:variant>
        <vt:i4>5</vt:i4>
      </vt:variant>
      <vt:variant>
        <vt:lpwstr>https://www.mensenrechten.nl/actueel/nieuws/2025/09/08/maatschappelijk-middenveld-in-nederland-staat-onder-druk</vt:lpwstr>
      </vt:variant>
      <vt:variant>
        <vt:lpwstr/>
      </vt:variant>
      <vt:variant>
        <vt:i4>5701715</vt:i4>
      </vt:variant>
      <vt:variant>
        <vt:i4>153</vt:i4>
      </vt:variant>
      <vt:variant>
        <vt:i4>0</vt:i4>
      </vt:variant>
      <vt:variant>
        <vt:i4>5</vt:i4>
      </vt:variant>
      <vt:variant>
        <vt:lpwstr>https://publicaties.mensenrechten.nl/publicatie/53cefe0d-475b-4ab6-9154-41a081472f9a</vt:lpwstr>
      </vt:variant>
      <vt:variant>
        <vt:lpwstr/>
      </vt:variant>
      <vt:variant>
        <vt:i4>5701635</vt:i4>
      </vt:variant>
      <vt:variant>
        <vt:i4>150</vt:i4>
      </vt:variant>
      <vt:variant>
        <vt:i4>0</vt:i4>
      </vt:variant>
      <vt:variant>
        <vt:i4>5</vt:i4>
      </vt:variant>
      <vt:variant>
        <vt:lpwstr>https://open.overheid.nl/documenten/1c7f0d59-dbab-485e-acba-7aac33db6277/file</vt:lpwstr>
      </vt:variant>
      <vt:variant>
        <vt:lpwstr/>
      </vt:variant>
      <vt:variant>
        <vt:i4>7077921</vt:i4>
      </vt:variant>
      <vt:variant>
        <vt:i4>147</vt:i4>
      </vt:variant>
      <vt:variant>
        <vt:i4>0</vt:i4>
      </vt:variant>
      <vt:variant>
        <vt:i4>5</vt:i4>
      </vt:variant>
      <vt:variant>
        <vt:lpwstr>https://www.rijksoverheid.nl/documenten/2025/08/29/kamerbrief-inzake-kabinetsappreciatie-commissie-rechtsstaatrapport-2025</vt:lpwstr>
      </vt:variant>
      <vt:variant>
        <vt:lpwstr/>
      </vt:variant>
      <vt:variant>
        <vt:i4>6422636</vt:i4>
      </vt:variant>
      <vt:variant>
        <vt:i4>144</vt:i4>
      </vt:variant>
      <vt:variant>
        <vt:i4>0</vt:i4>
      </vt:variant>
      <vt:variant>
        <vt:i4>5</vt:i4>
      </vt:variant>
      <vt:variant>
        <vt:lpwstr>https://www.rijksoverheid.nl/actueel/nieuws/2026/03/27/kabinet-versterkt-aanpak-ernstige-verstoringen-openbare-orde-met-nieuwe-politiebevoegdheden</vt:lpwstr>
      </vt:variant>
      <vt:variant>
        <vt:lpwstr/>
      </vt:variant>
      <vt:variant>
        <vt:i4>7733365</vt:i4>
      </vt:variant>
      <vt:variant>
        <vt:i4>141</vt:i4>
      </vt:variant>
      <vt:variant>
        <vt:i4>0</vt:i4>
      </vt:variant>
      <vt:variant>
        <vt:i4>5</vt:i4>
      </vt:variant>
      <vt:variant>
        <vt:lpwstr>https://www.rijksoverheid.nl/documenten/kamerstukken/2026/01/12/tk-reactie-op-de-motie-mutluer-c-s</vt:lpwstr>
      </vt:variant>
      <vt:variant>
        <vt:lpwstr/>
      </vt:variant>
      <vt:variant>
        <vt:i4>2818174</vt:i4>
      </vt:variant>
      <vt:variant>
        <vt:i4>138</vt:i4>
      </vt:variant>
      <vt:variant>
        <vt:i4>0</vt:i4>
      </vt:variant>
      <vt:variant>
        <vt:i4>5</vt:i4>
      </vt:variant>
      <vt:variant>
        <vt:lpwstr>https://www.advocatenorde.nl/nieuws/nederland-ondertekent-europees-verdrag-ter-bescherming-van-het-advocatenberoep</vt:lpwstr>
      </vt:variant>
      <vt:variant>
        <vt:lpwstr/>
      </vt:variant>
      <vt:variant>
        <vt:i4>8323171</vt:i4>
      </vt:variant>
      <vt:variant>
        <vt:i4>135</vt:i4>
      </vt:variant>
      <vt:variant>
        <vt:i4>0</vt:i4>
      </vt:variant>
      <vt:variant>
        <vt:i4>5</vt:i4>
      </vt:variant>
      <vt:variant>
        <vt:lpwstr>https://www.advocatenorde.nl/voor-advocaten/de-rol-van-de-advocatuur-de-rechtsstaat</vt:lpwstr>
      </vt:variant>
      <vt:variant>
        <vt:lpwstr/>
      </vt:variant>
      <vt:variant>
        <vt:i4>1048647</vt:i4>
      </vt:variant>
      <vt:variant>
        <vt:i4>132</vt:i4>
      </vt:variant>
      <vt:variant>
        <vt:i4>0</vt:i4>
      </vt:variant>
      <vt:variant>
        <vt:i4>5</vt:i4>
      </vt:variant>
      <vt:variant>
        <vt:lpwstr>https://www.nationaleombudsman.nl/nieuws/artikel/2026/demonstratierecht-steeds-verder-onder-druk</vt:lpwstr>
      </vt:variant>
      <vt:variant>
        <vt:lpwstr/>
      </vt:variant>
      <vt:variant>
        <vt:i4>3866663</vt:i4>
      </vt:variant>
      <vt:variant>
        <vt:i4>129</vt:i4>
      </vt:variant>
      <vt:variant>
        <vt:i4>0</vt:i4>
      </vt:variant>
      <vt:variant>
        <vt:i4>5</vt:i4>
      </vt:variant>
      <vt:variant>
        <vt:lpwstr>https://www.nationaleombudsman.nl/nieuws/nieuwsbericht/2026/ombudsman-proactieve-overheid-nodig-om-vertrouwen-te-herstellen</vt:lpwstr>
      </vt:variant>
      <vt:variant>
        <vt:lpwstr/>
      </vt:variant>
      <vt:variant>
        <vt:i4>2424938</vt:i4>
      </vt:variant>
      <vt:variant>
        <vt:i4>126</vt:i4>
      </vt:variant>
      <vt:variant>
        <vt:i4>0</vt:i4>
      </vt:variant>
      <vt:variant>
        <vt:i4>5</vt:i4>
      </vt:variant>
      <vt:variant>
        <vt:lpwstr>https://www.bureauncdr.nl/actueel/nieuws/2025/11/05/eindelijk-een-voorziening-voor-rechtshulp-en-gelijke-behandeling-in-caribisch-nederland</vt:lpwstr>
      </vt:variant>
      <vt:variant>
        <vt:lpwstr/>
      </vt:variant>
      <vt:variant>
        <vt:i4>2818172</vt:i4>
      </vt:variant>
      <vt:variant>
        <vt:i4>123</vt:i4>
      </vt:variant>
      <vt:variant>
        <vt:i4>0</vt:i4>
      </vt:variant>
      <vt:variant>
        <vt:i4>5</vt:i4>
      </vt:variant>
      <vt:variant>
        <vt:lpwstr>https://www.tweedekamer.nl/downloads/document?id=2026D21257</vt:lpwstr>
      </vt:variant>
      <vt:variant>
        <vt:lpwstr/>
      </vt:variant>
      <vt:variant>
        <vt:i4>5898243</vt:i4>
      </vt:variant>
      <vt:variant>
        <vt:i4>120</vt:i4>
      </vt:variant>
      <vt:variant>
        <vt:i4>0</vt:i4>
      </vt:variant>
      <vt:variant>
        <vt:i4>5</vt:i4>
      </vt:variant>
      <vt:variant>
        <vt:lpwstr>https://www.rijksfinancien.nl/voorjaarsnota/2026</vt:lpwstr>
      </vt:variant>
      <vt:variant>
        <vt:lpwstr>12992214</vt:lpwstr>
      </vt:variant>
      <vt:variant>
        <vt:i4>6619217</vt:i4>
      </vt:variant>
      <vt:variant>
        <vt:i4>117</vt:i4>
      </vt:variant>
      <vt:variant>
        <vt:i4>0</vt:i4>
      </vt:variant>
      <vt:variant>
        <vt:i4>5</vt:i4>
      </vt:variant>
      <vt:variant>
        <vt:lpwstr>https://www.tweedekamer.nl/kamerstukken/brieven_regering/detail?id=2026Z06584&amp;did=2026D14885</vt:lpwstr>
      </vt:variant>
      <vt:variant>
        <vt:lpwstr/>
      </vt:variant>
      <vt:variant>
        <vt:i4>7929864</vt:i4>
      </vt:variant>
      <vt:variant>
        <vt:i4>111</vt:i4>
      </vt:variant>
      <vt:variant>
        <vt:i4>0</vt:i4>
      </vt:variant>
      <vt:variant>
        <vt:i4>5</vt:i4>
      </vt:variant>
      <vt:variant>
        <vt:lpwstr>https://nvj.nl/_assets/f/291561/x/03788d3456/brief-minister-letschert-en-van-weel-inzake-veiligheid-van-journalisten.pdf</vt:lpwstr>
      </vt:variant>
      <vt:variant>
        <vt:lpwstr/>
      </vt:variant>
      <vt:variant>
        <vt:i4>1835077</vt:i4>
      </vt:variant>
      <vt:variant>
        <vt:i4>108</vt:i4>
      </vt:variant>
      <vt:variant>
        <vt:i4>0</vt:i4>
      </vt:variant>
      <vt:variant>
        <vt:i4>5</vt:i4>
      </vt:variant>
      <vt:variant>
        <vt:lpwstr>https://www.recht.nl/s3/attachment/?nref=254290&amp;uref=571836&amp;id=7828xbf3357f101a65cd25f21bce38d2e7c6e</vt:lpwstr>
      </vt:variant>
      <vt:variant>
        <vt:lpwstr/>
      </vt:variant>
      <vt:variant>
        <vt:i4>16</vt:i4>
      </vt:variant>
      <vt:variant>
        <vt:i4>102</vt:i4>
      </vt:variant>
      <vt:variant>
        <vt:i4>0</vt:i4>
      </vt:variant>
      <vt:variant>
        <vt:i4>5</vt:i4>
      </vt:variant>
      <vt:variant>
        <vt:lpwstr>https://rm.coe.int/grecorc5-2025-9-final-eng-add-to-the-2nd-compliance-report-netherlands/1680b69223</vt:lpwstr>
      </vt:variant>
      <vt:variant>
        <vt:lpwstr/>
      </vt:variant>
      <vt:variant>
        <vt:i4>5439558</vt:i4>
      </vt:variant>
      <vt:variant>
        <vt:i4>99</vt:i4>
      </vt:variant>
      <vt:variant>
        <vt:i4>0</vt:i4>
      </vt:variant>
      <vt:variant>
        <vt:i4>5</vt:i4>
      </vt:variant>
      <vt:variant>
        <vt:lpwstr>https://www.overheidsawards.nl/overheidsinnovatie/finalistenoivhj-2023-2/</vt:lpwstr>
      </vt:variant>
      <vt:variant>
        <vt:lpwstr/>
      </vt:variant>
      <vt:variant>
        <vt:i4>4259861</vt:i4>
      </vt:variant>
      <vt:variant>
        <vt:i4>96</vt:i4>
      </vt:variant>
      <vt:variant>
        <vt:i4>0</vt:i4>
      </vt:variant>
      <vt:variant>
        <vt:i4>5</vt:i4>
      </vt:variant>
      <vt:variant>
        <vt:lpwstr>https://goededoelennederland.nl/over-de-sector/nieuws/succes-grote-meerderheid-eerste-kamer-verwerpt-wtmo</vt:lpwstr>
      </vt:variant>
      <vt:variant>
        <vt:lpwstr/>
      </vt:variant>
      <vt:variant>
        <vt:i4>6357115</vt:i4>
      </vt:variant>
      <vt:variant>
        <vt:i4>93</vt:i4>
      </vt:variant>
      <vt:variant>
        <vt:i4>0</vt:i4>
      </vt:variant>
      <vt:variant>
        <vt:i4>5</vt:i4>
      </vt:variant>
      <vt:variant>
        <vt:lpwstr>https://www.encj.eu/index.php/node/867</vt:lpwstr>
      </vt:variant>
      <vt:variant>
        <vt:lpwstr/>
      </vt:variant>
      <vt:variant>
        <vt:i4>4390930</vt:i4>
      </vt:variant>
      <vt:variant>
        <vt:i4>90</vt:i4>
      </vt:variant>
      <vt:variant>
        <vt:i4>0</vt:i4>
      </vt:variant>
      <vt:variant>
        <vt:i4>5</vt:i4>
      </vt:variant>
      <vt:variant>
        <vt:lpwstr>https://www.eppo.europa.eu/assets/annual-report-2025/pdfs/EPPO_Annual_Report_2025_en.pdf</vt:lpwstr>
      </vt:variant>
      <vt:variant>
        <vt:lpwstr/>
      </vt:variant>
      <vt:variant>
        <vt:i4>8126589</vt:i4>
      </vt:variant>
      <vt:variant>
        <vt:i4>87</vt:i4>
      </vt:variant>
      <vt:variant>
        <vt:i4>0</vt:i4>
      </vt:variant>
      <vt:variant>
        <vt:i4>5</vt:i4>
      </vt:variant>
      <vt:variant>
        <vt:lpwstr>https://www.eerstekamer.nl/wetsvoorstel/36125_initiatiefvoorstel_sneller</vt:lpwstr>
      </vt:variant>
      <vt:variant>
        <vt:lpwstr/>
      </vt:variant>
      <vt:variant>
        <vt:i4>4522050</vt:i4>
      </vt:variant>
      <vt:variant>
        <vt:i4>84</vt:i4>
      </vt:variant>
      <vt:variant>
        <vt:i4>0</vt:i4>
      </vt:variant>
      <vt:variant>
        <vt:i4>5</vt:i4>
      </vt:variant>
      <vt:variant>
        <vt:lpwstr>https://www.autoriteitpersoonsgegevens.nl/documenten/tweede-kamerbrief-onderzoek-tooi</vt:lpwstr>
      </vt:variant>
      <vt:variant>
        <vt:lpwstr/>
      </vt:variant>
      <vt:variant>
        <vt:i4>4980818</vt:i4>
      </vt:variant>
      <vt:variant>
        <vt:i4>81</vt:i4>
      </vt:variant>
      <vt:variant>
        <vt:i4>0</vt:i4>
      </vt:variant>
      <vt:variant>
        <vt:i4>5</vt:i4>
      </vt:variant>
      <vt:variant>
        <vt:lpwstr>https://www.cvdm.nl/nieuws/meerjarenstrategie-2025-2030-toezicht-met-maatschappelijke-impact/</vt:lpwstr>
      </vt:variant>
      <vt:variant>
        <vt:lpwstr>:~:text=Het%20Commissariaat%20voor%20de%20Media%20focust%20zich%20de,het%20Commissariaat%20betrouwbaar%20en%20pluriform%20media-aanbod%20voor%20iedereen</vt:lpwstr>
      </vt:variant>
      <vt:variant>
        <vt:i4>6357034</vt:i4>
      </vt:variant>
      <vt:variant>
        <vt:i4>75</vt:i4>
      </vt:variant>
      <vt:variant>
        <vt:i4>0</vt:i4>
      </vt:variant>
      <vt:variant>
        <vt:i4>5</vt:i4>
      </vt:variant>
      <vt:variant>
        <vt:lpwstr>https://www.dji.nl/documenten/2025/07/10/infoblad-visueel-toezicht-in-de-ait-en-ebi---voor-rechtsbijstandsverleners</vt:lpwstr>
      </vt:variant>
      <vt:variant>
        <vt:lpwstr/>
      </vt:variant>
      <vt:variant>
        <vt:i4>1245186</vt:i4>
      </vt:variant>
      <vt:variant>
        <vt:i4>72</vt:i4>
      </vt:variant>
      <vt:variant>
        <vt:i4>0</vt:i4>
      </vt:variant>
      <vt:variant>
        <vt:i4>5</vt:i4>
      </vt:variant>
      <vt:variant>
        <vt:lpwstr>https://www.rekenkamer.nl/site/binaries/site-content/collections/documents/2025/09/23/aandachtspunten-bij-de-ontwerpbegroting-2026-van-het-ministerie-van-justitie-en-veiligheid/Brief+JenV+PAC24.pdf</vt:lpwstr>
      </vt:variant>
      <vt:variant>
        <vt:lpwstr/>
      </vt:variant>
      <vt:variant>
        <vt:i4>6029383</vt:i4>
      </vt:variant>
      <vt:variant>
        <vt:i4>69</vt:i4>
      </vt:variant>
      <vt:variant>
        <vt:i4>0</vt:i4>
      </vt:variant>
      <vt:variant>
        <vt:i4>5</vt:i4>
      </vt:variant>
      <vt:variant>
        <vt:lpwstr>https://www.rekenkamer.nl/documenten/2026/05/20/aanpak-minister-om-prestaties-in-de-strafrechtketen-te-verbeteren-is-onvoldoende</vt:lpwstr>
      </vt:variant>
      <vt:variant>
        <vt:lpwstr/>
      </vt:variant>
      <vt:variant>
        <vt:i4>4128804</vt:i4>
      </vt:variant>
      <vt:variant>
        <vt:i4>66</vt:i4>
      </vt:variant>
      <vt:variant>
        <vt:i4>0</vt:i4>
      </vt:variant>
      <vt:variant>
        <vt:i4>5</vt:i4>
      </vt:variant>
      <vt:variant>
        <vt:lpwstr>https://zoek.officielebekendmakingen.nl/blg-953721.pdf</vt:lpwstr>
      </vt:variant>
      <vt:variant>
        <vt:lpwstr/>
      </vt:variant>
      <vt:variant>
        <vt:i4>4849753</vt:i4>
      </vt:variant>
      <vt:variant>
        <vt:i4>63</vt:i4>
      </vt:variant>
      <vt:variant>
        <vt:i4>0</vt:i4>
      </vt:variant>
      <vt:variant>
        <vt:i4>5</vt:i4>
      </vt:variant>
      <vt:variant>
        <vt:lpwstr>https://www.raadvanstate.nl/actueel/nieuws/december/adviezen-vervolging-wegens-ambtsdelicten/</vt:lpwstr>
      </vt:variant>
      <vt:variant>
        <vt:lpwstr/>
      </vt:variant>
      <vt:variant>
        <vt:i4>65584</vt:i4>
      </vt:variant>
      <vt:variant>
        <vt:i4>60</vt:i4>
      </vt:variant>
      <vt:variant>
        <vt:i4>0</vt:i4>
      </vt:variant>
      <vt:variant>
        <vt:i4>5</vt:i4>
      </vt:variant>
      <vt:variant>
        <vt:lpwstr>https://www.raadvanstate.nl/adviezen/@156044/w04-26-00006/</vt:lpwstr>
      </vt:variant>
      <vt:variant>
        <vt:lpwstr/>
      </vt:variant>
      <vt:variant>
        <vt:i4>1114181</vt:i4>
      </vt:variant>
      <vt:variant>
        <vt:i4>54</vt:i4>
      </vt:variant>
      <vt:variant>
        <vt:i4>0</vt:i4>
      </vt:variant>
      <vt:variant>
        <vt:i4>5</vt:i4>
      </vt:variant>
      <vt:variant>
        <vt:lpwstr>https://search.coe.int/cm?i=09000016804d0fc8</vt:lpwstr>
      </vt:variant>
      <vt:variant>
        <vt:lpwstr/>
      </vt:variant>
      <vt:variant>
        <vt:i4>1048646</vt:i4>
      </vt:variant>
      <vt:variant>
        <vt:i4>51</vt:i4>
      </vt:variant>
      <vt:variant>
        <vt:i4>0</vt:i4>
      </vt:variant>
      <vt:variant>
        <vt:i4>5</vt:i4>
      </vt:variant>
      <vt:variant>
        <vt:lpwstr>https://search.coe.int/cm?i=09000016805afb78</vt:lpwstr>
      </vt:variant>
      <vt:variant>
        <vt:lpwstr/>
      </vt:variant>
      <vt:variant>
        <vt:i4>851992</vt:i4>
      </vt:variant>
      <vt:variant>
        <vt:i4>48</vt:i4>
      </vt:variant>
      <vt:variant>
        <vt:i4>0</vt:i4>
      </vt:variant>
      <vt:variant>
        <vt:i4>5</vt:i4>
      </vt:variant>
      <vt:variant>
        <vt:lpwstr>https://rm.coe.int/1680b4c6be</vt:lpwstr>
      </vt:variant>
      <vt:variant>
        <vt:lpwstr/>
      </vt:variant>
      <vt:variant>
        <vt:i4>851992</vt:i4>
      </vt:variant>
      <vt:variant>
        <vt:i4>45</vt:i4>
      </vt:variant>
      <vt:variant>
        <vt:i4>0</vt:i4>
      </vt:variant>
      <vt:variant>
        <vt:i4>5</vt:i4>
      </vt:variant>
      <vt:variant>
        <vt:lpwstr>https://rm.coe.int/2025-annual-report/48802b1633</vt:lpwstr>
      </vt:variant>
      <vt:variant>
        <vt:lpwstr/>
      </vt:variant>
      <vt:variant>
        <vt:i4>2228280</vt:i4>
      </vt:variant>
      <vt:variant>
        <vt:i4>42</vt:i4>
      </vt:variant>
      <vt:variant>
        <vt:i4>0</vt:i4>
      </vt:variant>
      <vt:variant>
        <vt:i4>5</vt:i4>
      </vt:variant>
      <vt:variant>
        <vt:lpwstr>https://www.rechtspraak.nl/binaries/_rts_1776914786729/content/assets/rvdr/jd/rvdr-jd-jaarverslag-rechtspraak-2025.pdf</vt:lpwstr>
      </vt:variant>
      <vt:variant>
        <vt:lpwstr/>
      </vt:variant>
      <vt:variant>
        <vt:i4>2752558</vt:i4>
      </vt:variant>
      <vt:variant>
        <vt:i4>39</vt:i4>
      </vt:variant>
      <vt:variant>
        <vt:i4>0</vt:i4>
      </vt:variant>
      <vt:variant>
        <vt:i4>5</vt:i4>
      </vt:variant>
      <vt:variant>
        <vt:lpwstr>https://www.rechtspraak.nl/binaries/_rts_1768901819918/content/assets/rvdr/jd/rvdr-jd-jaarplan-van-de-rechtspraak-2026.pdf</vt:lpwstr>
      </vt:variant>
      <vt:variant>
        <vt:lpwstr/>
      </vt:variant>
      <vt:variant>
        <vt:i4>2818108</vt:i4>
      </vt:variant>
      <vt:variant>
        <vt:i4>36</vt:i4>
      </vt:variant>
      <vt:variant>
        <vt:i4>0</vt:i4>
      </vt:variant>
      <vt:variant>
        <vt:i4>5</vt:i4>
      </vt:variant>
      <vt:variant>
        <vt:lpwstr>https://www.rechtspraak.nl/organisatie-en-contact/organisatie/raad-voor-de-rechtspraak/nieuws/rechtspraak-verwelkomt-voorstel-voor-eigen-begroting</vt:lpwstr>
      </vt:variant>
      <vt:variant>
        <vt:lpwstr/>
      </vt:variant>
      <vt:variant>
        <vt:i4>5636099</vt:i4>
      </vt:variant>
      <vt:variant>
        <vt:i4>33</vt:i4>
      </vt:variant>
      <vt:variant>
        <vt:i4>0</vt:i4>
      </vt:variant>
      <vt:variant>
        <vt:i4>5</vt:i4>
      </vt:variant>
      <vt:variant>
        <vt:lpwstr>https://www.tweedekamer.nl/sites/default/files/2026-03/Jaarverslag 2025 van het College van onderzoek integriteit.pdf</vt:lpwstr>
      </vt:variant>
      <vt:variant>
        <vt:lpwstr/>
      </vt:variant>
      <vt:variant>
        <vt:i4>3342394</vt:i4>
      </vt:variant>
      <vt:variant>
        <vt:i4>30</vt:i4>
      </vt:variant>
      <vt:variant>
        <vt:i4>0</vt:i4>
      </vt:variant>
      <vt:variant>
        <vt:i4>5</vt:i4>
      </vt:variant>
      <vt:variant>
        <vt:lpwstr>https://www.kabinetsformatie2025.nl/documenten/2026/01/30/budgettaire-tabel-en-bijlage-bij-coalitieakkoord-aan-de-slag</vt:lpwstr>
      </vt:variant>
      <vt:variant>
        <vt:lpwstr/>
      </vt:variant>
      <vt:variant>
        <vt:i4>1245204</vt:i4>
      </vt:variant>
      <vt:variant>
        <vt:i4>27</vt:i4>
      </vt:variant>
      <vt:variant>
        <vt:i4>0</vt:i4>
      </vt:variant>
      <vt:variant>
        <vt:i4>5</vt:i4>
      </vt:variant>
      <vt:variant>
        <vt:lpwstr>https://www.kabinetsformatie2025.nl/documenten/2026/01/30/aan-de-slag---coalitieakkoord-2026-2030</vt:lpwstr>
      </vt:variant>
      <vt:variant>
        <vt:lpwstr/>
      </vt:variant>
      <vt:variant>
        <vt:i4>1114182</vt:i4>
      </vt:variant>
      <vt:variant>
        <vt:i4>24</vt:i4>
      </vt:variant>
      <vt:variant>
        <vt:i4>0</vt:i4>
      </vt:variant>
      <vt:variant>
        <vt:i4>5</vt:i4>
      </vt:variant>
      <vt:variant>
        <vt:lpwstr>https://www.liberties.eu/f/wtaqoq</vt:lpwstr>
      </vt:variant>
      <vt:variant>
        <vt:lpwstr/>
      </vt:variant>
      <vt:variant>
        <vt:i4>7536699</vt:i4>
      </vt:variant>
      <vt:variant>
        <vt:i4>21</vt:i4>
      </vt:variant>
      <vt:variant>
        <vt:i4>0</vt:i4>
      </vt:variant>
      <vt:variant>
        <vt:i4>5</vt:i4>
      </vt:variant>
      <vt:variant>
        <vt:lpwstr>https://www.rijksoverheid.nl/documenten/rapporten/2025/10/02/beheersing-fraude-en-corruptierisico-s</vt:lpwstr>
      </vt:variant>
      <vt:variant>
        <vt:lpwstr/>
      </vt:variant>
      <vt:variant>
        <vt:i4>5832726</vt:i4>
      </vt:variant>
      <vt:variant>
        <vt:i4>18</vt:i4>
      </vt:variant>
      <vt:variant>
        <vt:i4>0</vt:i4>
      </vt:variant>
      <vt:variant>
        <vt:i4>5</vt:i4>
      </vt:variant>
      <vt:variant>
        <vt:lpwstr>https://cmpf.eui.eu/projects/media-pluralism-monitor/</vt:lpwstr>
      </vt:variant>
      <vt:variant>
        <vt:lpwstr/>
      </vt:variant>
      <vt:variant>
        <vt:i4>6619165</vt:i4>
      </vt:variant>
      <vt:variant>
        <vt:i4>0</vt:i4>
      </vt:variant>
      <vt:variant>
        <vt:i4>0</vt:i4>
      </vt:variant>
      <vt:variant>
        <vt:i4>5</vt:i4>
      </vt:variant>
      <vt:variant>
        <vt:lpwstr>https://commission.europa.eu/publications/2026-rule-law-report-targeted-stakeholder-consultation_en</vt:lpwstr>
      </vt:variant>
      <vt:variant>
        <vt:lpwstr/>
      </vt:variant>
      <vt:variant>
        <vt:i4>4587524</vt:i4>
      </vt:variant>
      <vt:variant>
        <vt:i4>9</vt:i4>
      </vt:variant>
      <vt:variant>
        <vt:i4>0</vt:i4>
      </vt:variant>
      <vt:variant>
        <vt:i4>5</vt:i4>
      </vt:variant>
      <vt:variant>
        <vt:lpwstr>https://www.coe.int/en/web/execution/the-supervision-process</vt:lpwstr>
      </vt:variant>
      <vt:variant>
        <vt:lpwstr/>
      </vt:variant>
      <vt:variant>
        <vt:i4>4194352</vt:i4>
      </vt:variant>
      <vt:variant>
        <vt:i4>6</vt:i4>
      </vt:variant>
      <vt:variant>
        <vt:i4>0</vt:i4>
      </vt:variant>
      <vt:variant>
        <vt:i4>5</vt:i4>
      </vt:variant>
      <vt:variant>
        <vt:lpwstr>https://www.tweedekamer.nl/debat_en_vergadering/plenaire_vergaderingen/details/activiteit?id=2025A07630</vt:lpwstr>
      </vt:variant>
      <vt:variant>
        <vt:lpwstr/>
      </vt:variant>
      <vt:variant>
        <vt:i4>5177432</vt:i4>
      </vt:variant>
      <vt:variant>
        <vt:i4>3</vt:i4>
      </vt:variant>
      <vt:variant>
        <vt:i4>0</vt:i4>
      </vt:variant>
      <vt:variant>
        <vt:i4>5</vt:i4>
      </vt:variant>
      <vt:variant>
        <vt:lpwstr>https://wetgevingskalender.overheid.nl/Regeling/WGK026657</vt:lpwstr>
      </vt:variant>
      <vt:variant>
        <vt:lpwstr/>
      </vt:variant>
      <vt:variant>
        <vt:i4>2031731</vt:i4>
      </vt:variant>
      <vt:variant>
        <vt:i4>0</vt:i4>
      </vt:variant>
      <vt:variant>
        <vt:i4>0</vt:i4>
      </vt:variant>
      <vt:variant>
        <vt:i4>5</vt:i4>
      </vt:variant>
      <vt:variant>
        <vt:lpwstr>https://commission.europa.eu/document/c19f24ea-0362-4375-9edf-9665fddbc6af_en</vt:lpwstr>
      </vt:variant>
      <vt:variant>
        <vt:lpwstr/>
      </vt:variant>
      <vt:variant>
        <vt:i4>4653158</vt:i4>
      </vt:variant>
      <vt:variant>
        <vt:i4>9</vt:i4>
      </vt:variant>
      <vt:variant>
        <vt:i4>0</vt:i4>
      </vt:variant>
      <vt:variant>
        <vt:i4>5</vt:i4>
      </vt:variant>
      <vt:variant>
        <vt:lpwstr>mailto:benedicte.marquet@ec.europa.eu</vt:lpwstr>
      </vt:variant>
      <vt:variant>
        <vt:lpwstr/>
      </vt:variant>
      <vt:variant>
        <vt:i4>5046369</vt:i4>
      </vt:variant>
      <vt:variant>
        <vt:i4>6</vt:i4>
      </vt:variant>
      <vt:variant>
        <vt:i4>0</vt:i4>
      </vt:variant>
      <vt:variant>
        <vt:i4>5</vt:i4>
      </vt:variant>
      <vt:variant>
        <vt:lpwstr>mailto:Nathalie.STOCKWELL@ec.europa.eu</vt:lpwstr>
      </vt:variant>
      <vt:variant>
        <vt:lpwstr/>
      </vt:variant>
      <vt:variant>
        <vt:i4>4456488</vt:i4>
      </vt:variant>
      <vt:variant>
        <vt:i4>3</vt:i4>
      </vt:variant>
      <vt:variant>
        <vt:i4>0</vt:i4>
      </vt:variant>
      <vt:variant>
        <vt:i4>5</vt:i4>
      </vt:variant>
      <vt:variant>
        <vt:lpwstr>mailto:Casper.DE-BOER@ec.europa.eu</vt:lpwstr>
      </vt:variant>
      <vt:variant>
        <vt:lpwstr/>
      </vt:variant>
      <vt:variant>
        <vt:i4>4456488</vt:i4>
      </vt:variant>
      <vt:variant>
        <vt:i4>0</vt:i4>
      </vt:variant>
      <vt:variant>
        <vt:i4>0</vt:i4>
      </vt:variant>
      <vt:variant>
        <vt:i4>5</vt:i4>
      </vt:variant>
      <vt:variant>
        <vt:lpwstr>mailto:Casper.DE-BOER@ec.europa.eu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2026-07-15T09:43:00Z</dcterms:created>
  <dcterms:modified xsi:type="dcterms:W3CDTF">2026-07-16T19:28:00Z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2026-07-15T09:43:21Z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803cb8da-9392-416c-9954-498264966a7a</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Part">
    <vt:lpwstr>1</vt:lpwstr>
  </property>
  <property fmtid="{D5CDD505-2E9C-101B-9397-08002B2CF9AE}" pid="13" name="MediaServiceImageTags">
    <vt:lpwstr/>
  </property>
  <property fmtid="{D5CDD505-2E9C-101B-9397-08002B2CF9AE}" pid="14" name="ContentTypeId">
    <vt:lpwstr>0x010100CD92FCBF67B53A4EB1060DF04C43C986</vt:lpwstr>
  </property>
  <property fmtid="{D5CDD505-2E9C-101B-9397-08002B2CF9AE}" pid="15" name="Created using">
    <vt:lpwstr>LW 7.0.1, Build 20200226</vt:lpwstr>
  </property>
  <property fmtid="{D5CDD505-2E9C-101B-9397-08002B2CF9AE}" pid="16" name="Total parts">
    <vt:lpwstr>1</vt:lpwstr>
  </property>
  <property fmtid="{D5CDD505-2E9C-101B-9397-08002B2CF9AE}" pid="17" name="_LW_INVALIDATED__LW_INVALIDATED__LW_INVALIDATED__LW_INVALIDATED__LW_INVALIDATED__LW_INVALIDATED_ELDocType">
    <vt:lpwstr>not.dot</vt:lpwstr>
  </property>
  <property fmtid="{D5CDD505-2E9C-101B-9397-08002B2CF9AE}" pid="18" name="Level of sensitivity">
    <vt:lpwstr>Standard treatment</vt:lpwstr>
  </property>
  <property fmtid="{D5CDD505-2E9C-101B-9397-08002B2CF9AE}" pid="19" name="_LW_INVALIDATED__LW_INVALIDATED__LW_INVALIDATED__LW_INVALIDATED__LW_INVALIDATED__LW_INVALIDATED_EurolookVersion">
    <vt:lpwstr>10.0</vt:lpwstr>
  </property>
  <property fmtid="{D5CDD505-2E9C-101B-9397-08002B2CF9AE}" pid="20" name="CPTemplateID">
    <vt:lpwstr>CP-025</vt:lpwstr>
  </property>
</Properties>
</file>